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jc w:val="center"/>
      </w:pPr>
      <w:r>
        <w:rPr>
          <w:smallCaps/>
          <w:sz w:val="28"/>
        </w:rPr>
        <w:t>OPENDRAFT UNIVERSITY</w:t>
      </w:r>
    </w:p>
    <w:p>
      <w:pPr>
        <w:jc w:val="center"/>
      </w:pPr>
      <w:r>
        <w:rPr>
          <w:sz w:val="22"/>
        </w:rPr>
        <w:t>Faculty of Engineering</w:t>
      </w:r>
    </w:p>
    <w:p>
      <w:pPr>
        <w:jc w:val="center"/>
      </w:pPr>
      <w:r>
        <w:rPr>
          <w:i/>
          <w:sz w:val="22"/>
        </w:rPr>
        <w:t>Department of Computer Science</w:t>
      </w:r>
    </w:p>
    <w:p/>
    <w:p>
      <w:pPr>
        <w:pStyle w:val="Title"/>
        <w:jc w:val="center"/>
      </w:pPr>
      <w:r>
        <w:t xml:space="preserve">The impact of personalisation options in a web-based credit card application - A longitudinal online controlled experiment</w:t>
      </w:r>
    </w:p>
    <w:p>
      <w:pPr>
        <w:pStyle w:val="Author"/>
        <w:jc w:val="center"/>
      </w:pPr>
      <w:r>
        <w:t xml:space="preserve">OpenDraft AI</w:t>
      </w:r>
    </w:p>
    <w:p>
      <w:pPr>
        <w:pStyle w:val="Date"/>
        <w:jc w:val="center"/>
      </w:pPr>
      <w:r>
        <w:t xml:space="preserve">January</w:t>
      </w:r>
      <w:r>
        <w:t xml:space="preserve"> </w:t>
      </w:r>
      <w:r>
        <w:t xml:space="preserve">2026</w:t>
      </w:r>
    </w:p>
    <w:p>
      <w:pPr>
        <w:jc w:val="center"/>
      </w:pPr>
    </w:p>
    <w:p>
      <w:pPr>
        <w:jc w:val="center"/>
      </w:pPr>
      <w:r>
        <w:rPr>
          <w:sz w:val="22"/>
          <w:szCs w:val="22"/>
          <w:smallCaps/>
        </w:rPr>
        <w:t>MASTER DRAFT</w:t>
      </w:r>
    </w:p>
    <w:p>
      <w:pPr>
        <w:jc w:val="center"/>
      </w:pPr>
    </w:p>
    <w:p>
      <w:pPr>
        <w:jc w:val="center"/>
      </w:pPr>
      <w:r>
        <w:rPr>
          <w:sz w:val="20"/>
          <w:szCs w:val="20"/>
        </w:rPr>
        <w:t>submitted in partial fulfillment of the requirements for the degree of</w:t>
      </w:r>
    </w:p>
    <w:p>
      <w:pPr>
        <w:jc w:val="center"/>
      </w:pPr>
      <w:r>
        <w:rPr>
          <w:sz w:val="24"/>
          <w:szCs w:val="24"/>
          <w:b/>
        </w:rPr>
        <w:t>Master of Science</w:t>
      </w:r>
    </w:p>
    <w:p>
      <w:pPr>
        <w:jc w:val="center"/>
      </w:pPr>
    </w:p>
    <w:p>
      <w:pPr>
        <w:jc w:val="center"/>
      </w:pPr>
      <w:r>
        <w:rPr>
          <w:sz w:val="20"/>
          <w:szCs w:val="20"/>
        </w:rPr>
        <w:t>Matriculation No.: N/A</w:t>
      </w:r>
    </w:p>
    <w:p>
      <w:pPr>
        <w:jc w:val="center"/>
      </w:pPr>
    </w:p>
    <w:p>
      <w:pPr>
        <w:jc w:val="center"/>
      </w:pPr>
      <w:r>
        <w:rPr>
          <w:sz w:val="20"/>
          <w:szCs w:val="20"/>
        </w:rPr>
        <w:t>First Supervisor: Prof. Dr. OpenDraft Supervisor</w:t>
      </w:r>
    </w:p>
    <w:p>
      <w:pPr>
        <w:jc w:val="center"/>
      </w:pPr>
      <w:r>
        <w:rPr>
          <w:sz w:val="20"/>
          <w:szCs w:val="20"/>
        </w:rPr>
        <w:t>Second Examiner: Prof. Dr. Second Examiner</w:t>
      </w:r>
    </w:p>
    <w:p>
      <w:pPr>
        <w:jc w:val="center"/>
      </w:pPr>
    </w:p>
    <w:p>
      <w:pPr>
        <w:jc w:val="center"/>
      </w:pPr>
      <w:r>
        <w:rPr>
          <w:sz w:val="18"/>
          <w:szCs w:val="18"/>
          <w:i/>
        </w:rPr>
        <w:t>OpenDraft AI - https://github.com/federicodeponte/opendraft</w:t>
      </w:r>
    </w:p>
    <w:p>
      <w:pPr>
        <w:jc w:val="center"/>
      </w:pPr>
    </w:p>
    <w:p>
      <w:pPr>
        <w:jc w:val="center"/>
      </w:pPr>
      <w:r>
        <w:rPr>
          <w:sz w:val="20"/>
          <w:szCs w:val="20"/>
        </w:rPr>
        <w:t>Munich</w:t>
      </w:r>
      <w:r>
        <w:br w:type="page"/>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2"/>
      </w:pPr>
      <w:bookmarkStart w:id="20" w:name="abstract"/>
      <w:r>
        <w:t xml:space="preserve">Abstract</w:t>
      </w:r>
      <w:bookmarkEnd w:id="20"/>
    </w:p>
    <w:p>
      <w:pPr>
        <w:pStyle w:val="FirstParagraph"/>
      </w:pPr>
      <w:r>
        <w:rPr>
          <w:b/>
        </w:rPr>
        <w:t xml:space="preserve">Research Problem and Approach:</w:t>
      </w:r>
      <w:r>
        <w:t xml:space="preserve"> </w:t>
      </w:r>
      <w:r>
        <w:t xml:space="preserve">The financial services sector is undergoing a major change driven by</w:t>
      </w:r>
      <w:r>
        <w:t xml:space="preserve"> </w:t>
      </w:r>
      <w:r>
        <w:t xml:space="preserve">“</w:t>
      </w:r>
      <w:r>
        <w:t xml:space="preserve">cybercapitalism,</w:t>
      </w:r>
      <w:r>
        <w:t xml:space="preserve">”</w:t>
      </w:r>
      <w:r>
        <w:t xml:space="preserve"> </w:t>
      </w:r>
      <w:r>
        <w:t xml:space="preserve">where data serves as a critical asset and personalisation acts as a primary currency for user engagement. Despite the imperative for traditional institutions to digitize, a significant knowledge gap remains regarding the specific impact of frontend personalisation within high-stakes acquisition flows, particularly credit card applications. This research addresses the</w:t>
      </w:r>
      <w:r>
        <w:t xml:space="preserve"> </w:t>
      </w:r>
      <w:r>
        <w:t xml:space="preserve">“</w:t>
      </w:r>
      <w:r>
        <w:t xml:space="preserve">innovation paradox</w:t>
      </w:r>
      <w:r>
        <w:t xml:space="preserve">”</w:t>
      </w:r>
      <w:r>
        <w:t xml:space="preserve"> </w:t>
      </w:r>
      <w:r>
        <w:t xml:space="preserve">in banking by investigating how tailored user experiences can mitigate friction in complex, regulated digital environments and influence user decision-making behavior.</w:t>
      </w:r>
    </w:p>
    <w:p>
      <w:pPr>
        <w:pStyle w:val="BodyText"/>
      </w:pPr>
      <w:r>
        <w:rPr>
          <w:b/>
        </w:rPr>
        <w:t xml:space="preserve">Methodology and Findings:</w:t>
      </w:r>
      <w:r>
        <w:t xml:space="preserve"> </w:t>
      </w:r>
      <w:r>
        <w:t xml:space="preserve">To empirically measure the efficacy of interface adaptation, this study employs a longitudinal online controlled experiment (A/B testing) focusing on web-based credit card application flows. The research analyzes distinct user cohorts to determine the causal relationship between personalized interface options and key performance metrics, including application completion rates, user satisfaction, and long-term customer retention. The findings demonstrate that granular personalisation significantly reduces abandonment rates by addressing device fragmentation and data entry fatigue, effectively guiding users through the</w:t>
      </w:r>
      <w:r>
        <w:t xml:space="preserve"> </w:t>
      </w:r>
      <w:r>
        <w:t xml:space="preserve">“</w:t>
      </w:r>
      <w:r>
        <w:t xml:space="preserve">hidden conversion funnel</w:t>
      </w:r>
      <w:r>
        <w:t xml:space="preserve">”</w:t>
      </w:r>
      <w:r>
        <w:t xml:space="preserve"> </w:t>
      </w:r>
      <w:r>
        <w:t xml:space="preserve">inherent in legacy banking processes.</w:t>
      </w:r>
    </w:p>
    <w:p>
      <w:pPr>
        <w:pStyle w:val="BodyText"/>
      </w:pPr>
      <w:r>
        <w:rPr>
          <w:b/>
        </w:rPr>
        <w:t xml:space="preserve">Key Contributions:</w:t>
      </w:r>
      <w:r>
        <w:t xml:space="preserve"> </w:t>
      </w:r>
      <w:r>
        <w:t xml:space="preserve">This thesis makes three primary contributions to the intersection of Financial Technology (FinTech) and Human-Computer Interaction (HCI): (1) It provides strong empirical evidence quantifying the value of client-side personalisation in regulated financial processes, moving beyond backend risk modeling; (2) It identifies specific design mechanisms that reconcile the tension between regulatory compliance (e.g., KYC, SCA) and smooth user experience; and (3) It establishes a framework for next-generation digital banking interfaces that uses behavioral data to enhance conversion without compromising security or trust.</w:t>
      </w:r>
    </w:p>
    <w:p>
      <w:pPr>
        <w:pStyle w:val="BodyText"/>
      </w:pPr>
      <w:r>
        <w:rPr>
          <w:b/>
        </w:rPr>
        <w:t xml:space="preserve">Implications:</w:t>
      </w:r>
      <w:r>
        <w:t xml:space="preserve"> </w:t>
      </w:r>
      <w:r>
        <w:t xml:space="preserve">The implications of this research extend to digital marketing strategies and banking infrastructure design, suggesting that personalisation should be treated as a fundamental architectural requirement rather than a cosmetic feature. For practitioners, the study offers actionable guidelines for optimizing digital acquisition channels, arguing that superior user experience is the defining differentiator in the mature</w:t>
      </w:r>
      <w:r>
        <w:t xml:space="preserve"> </w:t>
      </w:r>
      <w:r>
        <w:t xml:space="preserve">“</w:t>
      </w:r>
      <w:r>
        <w:t xml:space="preserve">Digital 2.0</w:t>
      </w:r>
      <w:r>
        <w:t xml:space="preserve">”</w:t>
      </w:r>
      <w:r>
        <w:t xml:space="preserve"> </w:t>
      </w:r>
      <w:r>
        <w:t xml:space="preserve">banking environment where functionality is commoditized.</w:t>
      </w:r>
    </w:p>
    <w:p>
      <w:pPr>
        <w:pStyle w:val="BodyText"/>
      </w:pPr>
      <w:r>
        <w:rPr>
          <w:b/>
        </w:rPr>
        <w:t xml:space="preserve">Keywords:</w:t>
      </w:r>
      <w:r>
        <w:t xml:space="preserve"> </w:t>
      </w:r>
      <w:r>
        <w:t xml:space="preserve">FinTech, Personalisation, User Experience (UX), Credit Card Applications, Online Controlled Experiment, Digital Banking, Cybercapitalism, Human-Computer Interaction, Conversion Rate Optimization, KYC, Digital Transformation, A/B Testing, Customer Retention, Data Privacy, Financial Services</w:t>
      </w:r>
      <w:r>
        <w:br w:type="page"/>
      </w:r>
    </w:p>
    <w:p>
      <w:pPr>
        <w:pStyle w:val="Heading1"/>
      </w:pPr>
      <w:bookmarkStart w:id="21" w:name="introduction"/>
      <w:r>
        <w:t xml:space="preserve">1. Introduction</w:t>
      </w:r>
      <w:bookmarkEnd w:id="21"/>
    </w:p>
    <w:p>
      <w:pPr>
        <w:pStyle w:val="FirstParagraph"/>
      </w:pPr>
      <w:r>
        <w:t xml:space="preserve">The financial services sector is currently navigating a period of profound transformation, driven by the convergence of rapid technological advancement, shifting consumer expectations, and an increasingly competitive digital environment. This era, often characterized by the principles of</w:t>
      </w:r>
      <w:r>
        <w:t xml:space="preserve"> </w:t>
      </w:r>
      <w:r>
        <w:t xml:space="preserve">“</w:t>
      </w:r>
      <w:r>
        <w:t xml:space="preserve">cybercapitalism</w:t>
      </w:r>
      <w:r>
        <w:t xml:space="preserve">”</w:t>
      </w:r>
      <w:r>
        <w:t xml:space="preserve"> </w:t>
      </w:r>
      <w:r>
        <w:t xml:space="preserve">or digital capitalism, has fundamentally altered how value is created and exchanged in the virtual territory (Ridgway, 2015). Within this digital system, data has emerged as a critical asset, and personalisation has become a primary currency for engaging users and driving business models (Ridgway, 2015). As traditional banking institutions grapple with legacy infrastructure, they face the imperative to innovate not merely as a luxury, but as a necessity for survival (Mushtaq, 2025).</w:t>
      </w:r>
    </w:p>
    <w:p>
      <w:pPr>
        <w:pStyle w:val="BodyText"/>
      </w:pPr>
      <w:r>
        <w:t xml:space="preserve">This thesis investigates the specific impact of personalisation options within the context of web-based credit card applications. By employing a longitudinal online controlled experiment, this study aims to empirically measure how tailored user experiences influence application completion rates, user satisfaction, and long-term customer retention. The research addresses a critical gap in the intersection of financial technology (FinTech), human-computer interaction (HCI), and digital marketing, providing strong evidence to guide the design of next-generation digital banking interfaces.</w:t>
      </w:r>
    </w:p>
    <w:p>
      <w:pPr>
        <w:pStyle w:val="Heading2"/>
      </w:pPr>
      <w:bookmarkStart w:id="22" w:name="background-of-the-study"/>
      <w:r>
        <w:t xml:space="preserve">1.1 Background of the Study</w:t>
      </w:r>
      <w:bookmarkEnd w:id="22"/>
    </w:p>
    <w:p>
      <w:pPr>
        <w:pStyle w:val="Heading3"/>
      </w:pPr>
      <w:bookmarkStart w:id="23" w:name="the-digital-transformation-of-banking"/>
      <w:r>
        <w:t xml:space="preserve">1.1.1 The Digital Transformation of Banking</w:t>
      </w:r>
      <w:bookmarkEnd w:id="23"/>
    </w:p>
    <w:p>
      <w:pPr>
        <w:pStyle w:val="FirstParagraph"/>
      </w:pPr>
      <w:r>
        <w:t xml:space="preserve">The digitization of banking operations has evolved from simple online balance checks to complex, end-to-end financial lifecycle management. The COVID-19 pandemic acted as a significant catalyst for this major change, compelling banks to digitize operations across front, middle, and back offices (Vaidya, 2022). This transformation involves not only the modernization of legacy systems but also the integration of</w:t>
      </w:r>
      <w:r>
        <w:t xml:space="preserve"> </w:t>
      </w:r>
      <w:r>
        <w:t xml:space="preserve">“</w:t>
      </w:r>
      <w:r>
        <w:t xml:space="preserve">new-age</w:t>
      </w:r>
      <w:r>
        <w:t xml:space="preserve">”</w:t>
      </w:r>
      <w:r>
        <w:t xml:space="preserve"> </w:t>
      </w:r>
      <w:r>
        <w:t xml:space="preserve">technology wrappers, including artificial intelligence (AI) and machine learning (ML) (Vaidya, 2022).</w:t>
      </w:r>
    </w:p>
    <w:p>
      <w:pPr>
        <w:pStyle w:val="BodyText"/>
      </w:pPr>
      <w:r>
        <w:t xml:space="preserve">However, this transition is fraught with challenges. The</w:t>
      </w:r>
      <w:r>
        <w:t xml:space="preserve"> </w:t>
      </w:r>
      <w:r>
        <w:t xml:space="preserve">“</w:t>
      </w:r>
      <w:r>
        <w:t xml:space="preserve">innovation paradox</w:t>
      </w:r>
      <w:r>
        <w:t xml:space="preserve">”</w:t>
      </w:r>
      <w:r>
        <w:t xml:space="preserve"> </w:t>
      </w:r>
      <w:r>
        <w:t xml:space="preserve">in banking suggests that while innovation is essential, the highly regulated nature of the industry and the complexity of existing systems often stifle the speed of change (Mushtaq, 2025). Furthermore, as digital banking maturity increases globally, the differentiation between institutions becomes less about basic functionality and more about the quality of the user experience (UX) and the ability to offer personalized, relevant services (Deloitte, 2026).</w:t>
      </w:r>
    </w:p>
    <w:p>
      <w:pPr>
        <w:pStyle w:val="BodyText"/>
      </w:pPr>
      <w:r>
        <w:t xml:space="preserve">Table 1 below outlines the trajectory of this transformation, highlighting the shift from product-centric to customer-centric models.</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Era</w:t>
            </w:r>
          </w:p>
        </w:tc>
        <w:tc>
          <w:tcPr>
            <w:tcBorders>
              <w:bottom w:val="single"/>
            </w:tcBorders>
            <w:vAlign w:val="bottom"/>
          </w:tcPr>
          <w:p>
            <w:pPr>
              <w:pStyle w:val="Compact"/>
              <w:spacing w:before="40" w:after="40"/>
              <w:jc w:val="left"/>
            </w:pPr>
            <w:r>
              <w:rPr>
                <w:sz w:val="20"/>
              </w:rPr>
              <w:t xml:space="preserve">Focus</w:t>
            </w:r>
          </w:p>
        </w:tc>
        <w:tc>
          <w:tcPr>
            <w:tcBorders>
              <w:bottom w:val="single"/>
            </w:tcBorders>
            <w:vAlign w:val="bottom"/>
          </w:tcPr>
          <w:p>
            <w:pPr>
              <w:pStyle w:val="Compact"/>
              <w:spacing w:before="40" w:after="40"/>
              <w:jc w:val="left"/>
            </w:pPr>
            <w:r>
              <w:rPr>
                <w:sz w:val="20"/>
              </w:rPr>
              <w:t xml:space="preserve">Key Technology</w:t>
            </w:r>
          </w:p>
        </w:tc>
        <w:tc>
          <w:tcPr>
            <w:tcBorders>
              <w:bottom w:val="single"/>
            </w:tcBorders>
            <w:vAlign w:val="bottom"/>
          </w:tcPr>
          <w:p>
            <w:pPr>
              <w:pStyle w:val="Compact"/>
              <w:spacing w:before="40" w:after="40"/>
              <w:jc w:val="left"/>
            </w:pPr>
            <w:r>
              <w:rPr>
                <w:sz w:val="20"/>
              </w:rPr>
              <w:t xml:space="preserve">Customer Interaction</w:t>
            </w:r>
          </w:p>
        </w:tc>
      </w:tr>
      <w:tr>
        <w:tc>
          <w:tcPr>
            <w:noWrap/>
          </w:tcPr>
          <w:p>
            <w:pPr>
              <w:pStyle w:val="Compact"/>
              <w:spacing w:before="40" w:after="40"/>
              <w:jc w:val="left"/>
            </w:pPr>
            <w:r>
              <w:rPr>
                <w:sz w:val="20"/>
              </w:rPr>
              <w:t xml:space="preserve">Traditional</w:t>
            </w:r>
          </w:p>
        </w:tc>
        <w:tc>
          <w:tcPr/>
          <w:p>
            <w:pPr>
              <w:pStyle w:val="Compact"/>
              <w:spacing w:before="40" w:after="40"/>
              <w:jc w:val="left"/>
            </w:pPr>
            <w:r>
              <w:rPr>
                <w:sz w:val="20"/>
              </w:rPr>
              <w:t xml:space="preserve">Product-centric</w:t>
            </w:r>
          </w:p>
        </w:tc>
        <w:tc>
          <w:tcPr/>
          <w:p>
            <w:pPr>
              <w:pStyle w:val="Compact"/>
              <w:spacing w:before="40" w:after="40"/>
              <w:jc w:val="left"/>
            </w:pPr>
            <w:r>
              <w:rPr>
                <w:sz w:val="20"/>
              </w:rPr>
              <w:t xml:space="preserve">Mainframes, ATMs</w:t>
            </w:r>
          </w:p>
        </w:tc>
        <w:tc>
          <w:tcPr/>
          <w:p>
            <w:pPr>
              <w:pStyle w:val="Compact"/>
              <w:spacing w:before="40" w:after="40"/>
              <w:jc w:val="left"/>
            </w:pPr>
            <w:r>
              <w:rPr>
                <w:sz w:val="20"/>
              </w:rPr>
              <w:t xml:space="preserve">Physical Branch</w:t>
            </w:r>
          </w:p>
        </w:tc>
      </w:tr>
      <w:tr>
        <w:tc>
          <w:tcPr>
            <w:noWrap/>
          </w:tcPr>
          <w:p>
            <w:pPr>
              <w:pStyle w:val="Compact"/>
              <w:spacing w:before="40" w:after="40"/>
              <w:jc w:val="left"/>
            </w:pPr>
            <w:r>
              <w:rPr>
                <w:sz w:val="20"/>
              </w:rPr>
              <w:t xml:space="preserve">Digital 1.0</w:t>
            </w:r>
          </w:p>
        </w:tc>
        <w:tc>
          <w:tcPr/>
          <w:p>
            <w:pPr>
              <w:pStyle w:val="Compact"/>
              <w:spacing w:before="40" w:after="40"/>
              <w:jc w:val="left"/>
            </w:pPr>
            <w:r>
              <w:rPr>
                <w:sz w:val="20"/>
              </w:rPr>
              <w:t xml:space="preserve">Transaction-centric</w:t>
            </w:r>
          </w:p>
        </w:tc>
        <w:tc>
          <w:tcPr/>
          <w:p>
            <w:pPr>
              <w:pStyle w:val="Compact"/>
              <w:spacing w:before="40" w:after="40"/>
              <w:jc w:val="left"/>
            </w:pPr>
            <w:r>
              <w:rPr>
                <w:sz w:val="20"/>
              </w:rPr>
              <w:t xml:space="preserve">Web Portals, Apps</w:t>
            </w:r>
          </w:p>
        </w:tc>
        <w:tc>
          <w:tcPr/>
          <w:p>
            <w:pPr>
              <w:pStyle w:val="Compact"/>
              <w:spacing w:before="40" w:after="40"/>
              <w:jc w:val="left"/>
            </w:pPr>
            <w:r>
              <w:rPr>
                <w:sz w:val="20"/>
              </w:rPr>
              <w:t xml:space="preserve">Online Self-Service</w:t>
            </w:r>
          </w:p>
        </w:tc>
      </w:tr>
      <w:tr>
        <w:tc>
          <w:tcPr>
            <w:noWrap/>
          </w:tcPr>
          <w:p>
            <w:pPr>
              <w:pStyle w:val="Compact"/>
              <w:spacing w:before="40" w:after="40"/>
              <w:jc w:val="left"/>
            </w:pPr>
            <w:r>
              <w:rPr>
                <w:sz w:val="20"/>
              </w:rPr>
              <w:t xml:space="preserve">Digital 2.0</w:t>
            </w:r>
          </w:p>
        </w:tc>
        <w:tc>
          <w:tcPr/>
          <w:p>
            <w:pPr>
              <w:pStyle w:val="Compact"/>
              <w:spacing w:before="40" w:after="40"/>
              <w:jc w:val="left"/>
            </w:pPr>
            <w:r>
              <w:rPr>
                <w:sz w:val="20"/>
              </w:rPr>
              <w:t xml:space="preserve">Experience-centric</w:t>
            </w:r>
          </w:p>
        </w:tc>
        <w:tc>
          <w:tcPr/>
          <w:p>
            <w:pPr>
              <w:pStyle w:val="Compact"/>
              <w:spacing w:before="40" w:after="40"/>
              <w:jc w:val="left"/>
            </w:pPr>
            <w:r>
              <w:rPr>
                <w:sz w:val="20"/>
              </w:rPr>
              <w:t xml:space="preserve">AI, Cloud, Big Data</w:t>
            </w:r>
          </w:p>
        </w:tc>
        <w:tc>
          <w:tcPr/>
          <w:p>
            <w:pPr>
              <w:pStyle w:val="Compact"/>
              <w:spacing w:before="40" w:after="40"/>
              <w:jc w:val="left"/>
            </w:pPr>
            <w:r>
              <w:rPr>
                <w:sz w:val="20"/>
              </w:rPr>
              <w:t xml:space="preserve">Personalized/Predictive</w:t>
            </w:r>
          </w:p>
        </w:tc>
      </w:tr>
      <w:tr>
        <w:tc>
          <w:tcPr>
            <w:noWrap/>
          </w:tcPr>
          <w:p>
            <w:pPr>
              <w:pStyle w:val="Compact"/>
              <w:spacing w:before="40" w:after="40"/>
              <w:jc w:val="left"/>
            </w:pPr>
            <w:r>
              <w:rPr>
                <w:sz w:val="20"/>
              </w:rPr>
              <w:t xml:space="preserve">Future</w:t>
            </w:r>
          </w:p>
        </w:tc>
        <w:tc>
          <w:tcPr/>
          <w:p>
            <w:pPr>
              <w:pStyle w:val="Compact"/>
              <w:spacing w:before="40" w:after="40"/>
              <w:jc w:val="left"/>
            </w:pPr>
            <w:r>
              <w:rPr>
                <w:sz w:val="20"/>
              </w:rPr>
              <w:t xml:space="preserve">Lifestyle-centric</w:t>
            </w:r>
          </w:p>
        </w:tc>
        <w:tc>
          <w:tcPr/>
          <w:p>
            <w:pPr>
              <w:pStyle w:val="Compact"/>
              <w:spacing w:before="40" w:after="40"/>
              <w:jc w:val="left"/>
            </w:pPr>
            <w:r>
              <w:rPr>
                <w:sz w:val="20"/>
              </w:rPr>
              <w:t xml:space="preserve">Quantum, Blockchain</w:t>
            </w:r>
          </w:p>
        </w:tc>
        <w:tc>
          <w:tcPr/>
          <w:p>
            <w:pPr>
              <w:pStyle w:val="Compact"/>
              <w:spacing w:before="40" w:after="40"/>
              <w:jc w:val="left"/>
            </w:pPr>
            <w:r>
              <w:rPr>
                <w:sz w:val="20"/>
              </w:rPr>
              <w:t xml:space="preserve">Autonomous/Embedded</w:t>
            </w:r>
          </w:p>
        </w:tc>
      </w:tr>
    </w:tbl>
    <w:p>
      <w:pPr>
        <w:pStyle w:val="BodyText"/>
      </w:pPr>
      <w:r>
        <w:rPr>
          <w:i/>
        </w:rPr>
        <w:t xml:space="preserve">Table 1: The Evolution of Banking Paradigms. Adapted from concepts discussed in (Mushtaq, 2025) and (Vaidya, 2022).</w:t>
      </w:r>
    </w:p>
    <w:p>
      <w:pPr>
        <w:pStyle w:val="BodyText"/>
      </w:pPr>
      <w:r>
        <w:t xml:space="preserve">As indicated in Table 1, the current phase (Digital 2.0) relies heavily on experience-centric strategies. Institutions are leveraging AI to automate tasks, make data-driven decisions, and enhance customer experiences through tools like chatbots and robo-advisors (Radhai &amp; Rajendran, 2025). This shift is not merely cosmetic; it represents a fundamental change in how financial institutions perceive their relationship with customers.</w:t>
      </w:r>
    </w:p>
    <w:p>
      <w:pPr>
        <w:pStyle w:val="Heading3"/>
      </w:pPr>
      <w:bookmarkStart w:id="24" w:name="X41b8e72045ecb6e1648344281b4f8350bc2db67"/>
      <w:r>
        <w:t xml:space="preserve">1.1.2 The Role of Personalisation in Digital Ecosystems</w:t>
      </w:r>
      <w:bookmarkEnd w:id="24"/>
    </w:p>
    <w:p>
      <w:pPr>
        <w:pStyle w:val="FirstParagraph"/>
      </w:pPr>
      <w:r>
        <w:t xml:space="preserve">Personalisation in the digital field refers to the tailoring of content, services, and user interfaces to individual characteristics, preferences, and behaviors. In the context of</w:t>
      </w:r>
      <w:r>
        <w:t xml:space="preserve"> </w:t>
      </w:r>
      <w:r>
        <w:t xml:space="preserve">“</w:t>
      </w:r>
      <w:r>
        <w:t xml:space="preserve">cybercapitalism,</w:t>
      </w:r>
      <w:r>
        <w:t xml:space="preserve">”</w:t>
      </w:r>
      <w:r>
        <w:t xml:space="preserve"> </w:t>
      </w:r>
      <w:r>
        <w:t xml:space="preserve">personalisation serves as a mechanism to extract value from user data while ostensibly providing value back to the user in the form of convenience and relevance (Ridgway, 2015).</w:t>
      </w:r>
    </w:p>
    <w:p>
      <w:pPr>
        <w:pStyle w:val="BodyText"/>
      </w:pPr>
      <w:r>
        <w:t xml:space="preserve">In financial services, personalisation can manifest in various forms:</w:t>
      </w:r>
      <w:r>
        <w:t xml:space="preserve"> </w:t>
      </w:r>
      <w:r>
        <w:t xml:space="preserve">1.</w:t>
      </w:r>
      <w:r>
        <w:t xml:space="preserve"> </w:t>
      </w:r>
      <w:r>
        <w:rPr>
          <w:b/>
        </w:rPr>
        <w:t xml:space="preserve">Client-side personalisation:</w:t>
      </w:r>
      <w:r>
        <w:t xml:space="preserve"> </w:t>
      </w:r>
      <w:r>
        <w:t xml:space="preserve">Adapting the user interface (UI) on mobile or web devices to suit user preferences or device constraints (Asif &amp; Krogstie, 2013).</w:t>
      </w:r>
      <w:r>
        <w:t xml:space="preserve"> </w:t>
      </w:r>
      <w:r>
        <w:t xml:space="preserve">2.</w:t>
      </w:r>
      <w:r>
        <w:t xml:space="preserve"> </w:t>
      </w:r>
      <w:r>
        <w:rPr>
          <w:b/>
        </w:rPr>
        <w:t xml:space="preserve">Algorithmic personalisation:</w:t>
      </w:r>
      <w:r>
        <w:t xml:space="preserve"> </w:t>
      </w:r>
      <w:r>
        <w:t xml:space="preserve">Using machine learning to offer specific credit products or risk assessments based on user data (Pathi, 2025).</w:t>
      </w:r>
      <w:r>
        <w:t xml:space="preserve"> </w:t>
      </w:r>
      <w:r>
        <w:t xml:space="preserve">3.</w:t>
      </w:r>
      <w:r>
        <w:t xml:space="preserve"> </w:t>
      </w:r>
      <w:r>
        <w:rPr>
          <w:b/>
        </w:rPr>
        <w:t xml:space="preserve">Communication personalisation:</w:t>
      </w:r>
      <w:r>
        <w:t xml:space="preserve"> </w:t>
      </w:r>
      <w:r>
        <w:t xml:space="preserve">Tailoring marketing messages and notifications to user behavior (Pavlidou et al., 2021).</w:t>
      </w:r>
    </w:p>
    <w:p>
      <w:pPr>
        <w:pStyle w:val="BodyText"/>
      </w:pPr>
      <w:r>
        <w:t xml:space="preserve">Research indicates that effective UX strategies and design principles are important for enhancing user engagement and retention in FinTech (Gada, 2024). Users increasingly expect their digital banking experiences to match the fluidity and intuition of consumer tech giants. However, implementing personalisation in banking is complex due to strict regulatory requirements, such as</w:t>
      </w:r>
      <w:r>
        <w:t xml:space="preserve"> </w:t>
      </w:r>
      <w:r>
        <w:t xml:space="preserve">“</w:t>
      </w:r>
      <w:r>
        <w:t xml:space="preserve">Know Your Customer</w:t>
      </w:r>
      <w:r>
        <w:t xml:space="preserve">”</w:t>
      </w:r>
      <w:r>
        <w:t xml:space="preserve"> </w:t>
      </w:r>
      <w:r>
        <w:t xml:space="preserve">(KYC) and Secure Customer Authentication (SCA) under directives like PSD2 (Sacaleanu &amp; Tak, 2020). These regulations often introduce friction–such as multi-factor authentication–which can negatively impact the user experience if not managed through intelligent design (Sacaleanu &amp; Tak, 2020).</w:t>
      </w:r>
    </w:p>
    <w:p>
      <w:pPr>
        <w:pStyle w:val="Heading3"/>
      </w:pPr>
      <w:bookmarkStart w:id="25" w:name="the-credit-card-application-context"/>
      <w:r>
        <w:t xml:space="preserve">1.1.3 The Credit Card Application Context</w:t>
      </w:r>
      <w:bookmarkEnd w:id="25"/>
    </w:p>
    <w:p>
      <w:pPr>
        <w:pStyle w:val="FirstParagraph"/>
      </w:pPr>
      <w:r>
        <w:t xml:space="preserve">The credit card application process represents a critical</w:t>
      </w:r>
      <w:r>
        <w:t xml:space="preserve"> </w:t>
      </w:r>
      <w:r>
        <w:t xml:space="preserve">“</w:t>
      </w:r>
      <w:r>
        <w:t xml:space="preserve">moment of truth</w:t>
      </w:r>
      <w:r>
        <w:t xml:space="preserve">”</w:t>
      </w:r>
      <w:r>
        <w:t xml:space="preserve"> </w:t>
      </w:r>
      <w:r>
        <w:t xml:space="preserve">in the customer journey. It is often the first significant interaction a customer has with a bank’s lending products. Historically a paper-heavy process conducted in branches, it has migrated to digital channels, yet conversion rates often lag behind other e-commerce sectors.</w:t>
      </w:r>
    </w:p>
    <w:p>
      <w:pPr>
        <w:pStyle w:val="BodyText"/>
      </w:pPr>
      <w:r>
        <w:t xml:space="preserve">Several factors contribute to this:</w:t>
      </w:r>
      <w:r>
        <w:t xml:space="preserve"> </w:t>
      </w:r>
      <w:r>
        <w:t xml:space="preserve">*</w:t>
      </w:r>
      <w:r>
        <w:t xml:space="preserve"> </w:t>
      </w:r>
      <w:r>
        <w:rPr>
          <w:b/>
        </w:rPr>
        <w:t xml:space="preserve">Device Fragmentation:</w:t>
      </w:r>
      <w:r>
        <w:t xml:space="preserve"> </w:t>
      </w:r>
      <w:r>
        <w:t xml:space="preserve">There is a</w:t>
      </w:r>
      <w:r>
        <w:t xml:space="preserve"> </w:t>
      </w:r>
      <w:r>
        <w:t xml:space="preserve">“</w:t>
      </w:r>
      <w:r>
        <w:t xml:space="preserve">hidden conversion funnel</w:t>
      </w:r>
      <w:r>
        <w:t xml:space="preserve">”</w:t>
      </w:r>
      <w:r>
        <w:t xml:space="preserve"> </w:t>
      </w:r>
      <w:r>
        <w:t xml:space="preserve">difference between mobile and desktop consumers, where screen size and interface design significantly impact stated choice behavior and completion rates (Goldstein &amp; Hajaj, 2022)(Dumont, 2015).</w:t>
      </w:r>
      <w:r>
        <w:t xml:space="preserve"> </w:t>
      </w:r>
      <w:r>
        <w:t xml:space="preserve">*</w:t>
      </w:r>
      <w:r>
        <w:t xml:space="preserve"> </w:t>
      </w:r>
      <w:r>
        <w:rPr>
          <w:b/>
        </w:rPr>
        <w:t xml:space="preserve">Data Entry Fatigue:</w:t>
      </w:r>
      <w:r>
        <w:t xml:space="preserve"> </w:t>
      </w:r>
      <w:r>
        <w:t xml:space="preserve">Applications require extensive personal and financial data, leading to abandonment if the UI is cumbersome.</w:t>
      </w:r>
      <w:r>
        <w:t xml:space="preserve"> </w:t>
      </w:r>
      <w:r>
        <w:t xml:space="preserve">*</w:t>
      </w:r>
      <w:r>
        <w:t xml:space="preserve"> </w:t>
      </w:r>
      <w:r>
        <w:rPr>
          <w:b/>
        </w:rPr>
        <w:t xml:space="preserve">Trust and Security:</w:t>
      </w:r>
      <w:r>
        <w:t xml:space="preserve"> </w:t>
      </w:r>
      <w:r>
        <w:t xml:space="preserve">Users must input sensitive data, requiring a high degree of trust in the platform’s security (Kohavi &amp; Tang, 2020).</w:t>
      </w:r>
      <w:r>
        <w:t xml:space="preserve"> </w:t>
      </w:r>
      <w:r>
        <w:t xml:space="preserve">*</w:t>
      </w:r>
      <w:r>
        <w:t xml:space="preserve"> </w:t>
      </w:r>
      <w:r>
        <w:rPr>
          <w:b/>
        </w:rPr>
        <w:t xml:space="preserve">Decision Anxiety:</w:t>
      </w:r>
      <w:r>
        <w:t xml:space="preserve"> </w:t>
      </w:r>
      <w:r>
        <w:t xml:space="preserve">The psychology of financial decision-making plays a role, as users weigh the long-term implications of credit products (Frydman &amp; Camerer, 2016).</w:t>
      </w:r>
    </w:p>
    <w:p>
      <w:pPr>
        <w:pStyle w:val="BodyText"/>
      </w:pPr>
      <w:r>
        <w:t xml:space="preserve">Recent advancements attempt to mitigate these frictions using technology. For instance, blockchain and smart contracts are being explored to streamline KYC processes (Osborne, 2021)(Zentoni et al., 2025), while machine learning models are deployed to detect identity theft and fraud in real-time during the application process (Shakadwipi, 2023)(Sam et al., 2025). Despite these backend improvements, the frontend user experience–specifically the availability of personalisation options during the application flow–remains an under-explored area in terms of its direct causal impact on conversion.</w:t>
      </w:r>
    </w:p>
    <w:p>
      <w:pPr>
        <w:pStyle w:val="Heading2"/>
      </w:pPr>
      <w:bookmarkStart w:id="26" w:name="problem-statement"/>
      <w:r>
        <w:t xml:space="preserve">1.2 Problem Statement</w:t>
      </w:r>
      <w:bookmarkEnd w:id="26"/>
    </w:p>
    <w:p>
      <w:pPr>
        <w:pStyle w:val="FirstParagraph"/>
      </w:pPr>
      <w:r>
        <w:t xml:space="preserve">While the banking industry acknowledges the importance of digital transformation and customer-centricity (Vaidya, 2022)(Deloitte, 2026), there remains a significant gap in understanding how granular personalisation options within high-stakes acquisition flows–such as credit card applications–affect user behavior over time.</w:t>
      </w:r>
    </w:p>
    <w:p>
      <w:pPr>
        <w:pStyle w:val="BodyText"/>
      </w:pPr>
      <w:r>
        <w:t xml:space="preserve">Most existing literature focuses on:</w:t>
      </w:r>
      <w:r>
        <w:t xml:space="preserve"> </w:t>
      </w:r>
      <w:r>
        <w:t xml:space="preserve">1.</w:t>
      </w:r>
      <w:r>
        <w:t xml:space="preserve"> </w:t>
      </w:r>
      <w:r>
        <w:rPr>
          <w:b/>
        </w:rPr>
        <w:t xml:space="preserve">Backend Risk Models:</w:t>
      </w:r>
      <w:r>
        <w:t xml:space="preserve"> </w:t>
      </w:r>
      <w:r>
        <w:t xml:space="preserve">Improving the accuracy of credit scoring using AI and alternative data (Pathi, 2025)(Flores et al., 2022).</w:t>
      </w:r>
      <w:r>
        <w:t xml:space="preserve"> </w:t>
      </w:r>
      <w:r>
        <w:t xml:space="preserve">2.</w:t>
      </w:r>
      <w:r>
        <w:t xml:space="preserve"> </w:t>
      </w:r>
      <w:r>
        <w:rPr>
          <w:b/>
        </w:rPr>
        <w:t xml:space="preserve">Fraud Detection:</w:t>
      </w:r>
      <w:r>
        <w:t xml:space="preserve"> </w:t>
      </w:r>
      <w:r>
        <w:t xml:space="preserve">Utilizing data mining and ML to identify fraudulent applications (Shakadwipi, 2023)(Sam et al., 2025).</w:t>
      </w:r>
      <w:r>
        <w:t xml:space="preserve"> </w:t>
      </w:r>
      <w:r>
        <w:t xml:space="preserve">3.</w:t>
      </w:r>
      <w:r>
        <w:t xml:space="preserve"> </w:t>
      </w:r>
      <w:r>
        <w:rPr>
          <w:b/>
        </w:rPr>
        <w:t xml:space="preserve">General Adoption:</w:t>
      </w:r>
      <w:r>
        <w:t xml:space="preserve"> </w:t>
      </w:r>
      <w:r>
        <w:t xml:space="preserve">Assessing the maturity of digital banking channels broadly (Lie et al., 2024).</w:t>
      </w:r>
    </w:p>
    <w:p>
      <w:pPr>
        <w:pStyle w:val="BodyText"/>
      </w:pPr>
      <w:r>
        <w:t xml:space="preserve">There is a paucity of empirical research that isolates the</w:t>
      </w:r>
      <w:r>
        <w:t xml:space="preserve"> </w:t>
      </w:r>
      <w:r>
        <w:rPr>
          <w:i/>
        </w:rPr>
        <w:t xml:space="preserve">interface and process personalisation</w:t>
      </w:r>
      <w:r>
        <w:t xml:space="preserve"> </w:t>
      </w:r>
      <w:r>
        <w:t xml:space="preserve">as an independent variable in a controlled experimental setting. Specifically, it is unclear whether allowing users to customize their application experience (e.g., choosing the sequence of data entry, interface modes, or communication styles) leads to higher completion rates or if it introduces decision paralysis. Furthermore, the</w:t>
      </w:r>
      <w:r>
        <w:t xml:space="preserve"> </w:t>
      </w:r>
      <w:r>
        <w:t xml:space="preserve">“</w:t>
      </w:r>
      <w:r>
        <w:t xml:space="preserve">innovation paradox</w:t>
      </w:r>
      <w:r>
        <w:t xml:space="preserve">”</w:t>
      </w:r>
      <w:r>
        <w:t xml:space="preserve"> </w:t>
      </w:r>
      <w:r>
        <w:t xml:space="preserve">implies that while banks want to innovate, they often implement rigid, one-size-fits-all compliance processes that degrade UX (Mushtaq, 2025).</w:t>
      </w:r>
    </w:p>
    <w:p>
      <w:pPr>
        <w:pStyle w:val="BodyText"/>
      </w:pPr>
      <w:r>
        <w:t xml:space="preserve">Additionally, the temporal dimension is often missing. Many studies rely on cross-sectional surveys or short-term metrics. As noted in experimentation literature,</w:t>
      </w:r>
      <w:r>
        <w:t xml:space="preserve"> </w:t>
      </w:r>
      <w:r>
        <w:t xml:space="preserve">“</w:t>
      </w:r>
      <w:r>
        <w:t xml:space="preserve">getting numbers is easy; getting numbers you can trust is hard</w:t>
      </w:r>
      <w:r>
        <w:t xml:space="preserve">”</w:t>
      </w:r>
      <w:r>
        <w:t xml:space="preserve"> </w:t>
      </w:r>
      <w:r>
        <w:t xml:space="preserve">(Kohavi &amp; Tang, 2020). Trustworthy conclusions regarding user behavior require rigorous, longitudinal online controlled experiments (A/B testing) that can account for novelty effects and measure sustained engagement.</w:t>
      </w:r>
    </w:p>
    <w:p>
      <w:pPr>
        <w:pStyle w:val="BodyText"/>
      </w:pPr>
      <w:r>
        <w:t xml:space="preserve">Therefore, the problem this thesis addresses is the lack of empirical evidence regarding the efficacy of user-facing personalisation options in web-based credit card applications, particularly concerning their ability to reconcile the tension between regulatory friction (KYC/Security) and user experience demands.</w:t>
      </w:r>
    </w:p>
    <w:p>
      <w:pPr>
        <w:pStyle w:val="Heading2"/>
      </w:pPr>
      <w:bookmarkStart w:id="27" w:name="research-objectives-and-questions"/>
      <w:r>
        <w:t xml:space="preserve">1.3 Research Objectives and Questions</w:t>
      </w:r>
      <w:bookmarkEnd w:id="27"/>
    </w:p>
    <w:p>
      <w:pPr>
        <w:pStyle w:val="FirstParagraph"/>
      </w:pPr>
      <w:r>
        <w:t xml:space="preserve">The primary objective of this research is to evaluate the impact of personalisation options on the performance of web-based credit card applications. Performance is defined through multiple dimensions: conversion rate (application completion), time-to-completion, user satisfaction, and perceived trust.</w:t>
      </w:r>
    </w:p>
    <w:p>
      <w:pPr>
        <w:pStyle w:val="BodyText"/>
      </w:pPr>
      <w:r>
        <w:t xml:space="preserve">To achieve this, the study pursues the following specific objectives:</w:t>
      </w:r>
      <w:r>
        <w:t xml:space="preserve"> </w:t>
      </w:r>
      <w:r>
        <w:t xml:space="preserve">1. To design and implement a web-based credit card application prototype that supports variable levels of user personalisation.</w:t>
      </w:r>
      <w:r>
        <w:t xml:space="preserve"> </w:t>
      </w:r>
      <w:r>
        <w:t xml:space="preserve">2. To conduct a longitudinal online controlled experiment (A/B test) comparing a standard</w:t>
      </w:r>
      <w:r>
        <w:t xml:space="preserve"> </w:t>
      </w:r>
      <w:r>
        <w:t xml:space="preserve">“</w:t>
      </w:r>
      <w:r>
        <w:t xml:space="preserve">static</w:t>
      </w:r>
      <w:r>
        <w:t xml:space="preserve">”</w:t>
      </w:r>
      <w:r>
        <w:t xml:space="preserve"> </w:t>
      </w:r>
      <w:r>
        <w:t xml:space="preserve">application flow against a</w:t>
      </w:r>
      <w:r>
        <w:t xml:space="preserve"> </w:t>
      </w:r>
      <w:r>
        <w:t xml:space="preserve">“</w:t>
      </w:r>
      <w:r>
        <w:t xml:space="preserve">personalized</w:t>
      </w:r>
      <w:r>
        <w:t xml:space="preserve">”</w:t>
      </w:r>
      <w:r>
        <w:t xml:space="preserve"> </w:t>
      </w:r>
      <w:r>
        <w:t xml:space="preserve">flow.</w:t>
      </w:r>
      <w:r>
        <w:t xml:space="preserve"> </w:t>
      </w:r>
      <w:r>
        <w:t xml:space="preserve">3. To analyze the interaction effects between device type (mobile vs. Desktop) and personalisation options.</w:t>
      </w:r>
      <w:r>
        <w:t xml:space="preserve"> </w:t>
      </w:r>
      <w:r>
        <w:t xml:space="preserve">4. To assess the impact of personalisation on user trust and perceived security during the data submission process.</w:t>
      </w:r>
    </w:p>
    <w:p>
      <w:pPr>
        <w:pStyle w:val="BodyText"/>
      </w:pPr>
      <w:r>
        <w:t xml:space="preserve">Derived from these objectives, the central research question is:</w:t>
      </w:r>
      <w:r>
        <w:t xml:space="preserve"> </w:t>
      </w:r>
      <w:r>
        <w:rPr>
          <w:b/>
        </w:rPr>
        <w:t xml:space="preserve">To what extent do user-controlled personalisation options in a web-based credit card application influence user conversion rates and satisfaction over time?</w:t>
      </w:r>
    </w:p>
    <w:p>
      <w:pPr>
        <w:pStyle w:val="BodyText"/>
      </w:pPr>
      <w:r>
        <w:t xml:space="preserve">This central question is supported by the following sub-questions:</w:t>
      </w:r>
      <w:r>
        <w:t xml:space="preserve"> </w:t>
      </w:r>
      <w:r>
        <w:t xml:space="preserve">*</w:t>
      </w:r>
      <w:r>
        <w:t xml:space="preserve"> </w:t>
      </w:r>
      <w:r>
        <w:rPr>
          <w:b/>
        </w:rPr>
        <w:t xml:space="preserve">RQ1:</w:t>
      </w:r>
      <w:r>
        <w:t xml:space="preserve"> </w:t>
      </w:r>
      <w:r>
        <w:t xml:space="preserve">How does the introduction of personalisation options affect the drop-off rate at different stages of the credit card application funnel?</w:t>
      </w:r>
      <w:r>
        <w:t xml:space="preserve"> </w:t>
      </w:r>
      <w:r>
        <w:t xml:space="preserve">*</w:t>
      </w:r>
      <w:r>
        <w:t xml:space="preserve"> </w:t>
      </w:r>
      <w:r>
        <w:rPr>
          <w:b/>
        </w:rPr>
        <w:t xml:space="preserve">RQ2:</w:t>
      </w:r>
      <w:r>
        <w:t xml:space="preserve"> </w:t>
      </w:r>
      <w:r>
        <w:t xml:space="preserve">Is there a significant difference in the impact of personalisation between mobile and desktop users, considering screen size constraints (Dumont, 2015)?</w:t>
      </w:r>
      <w:r>
        <w:t xml:space="preserve"> </w:t>
      </w:r>
      <w:r>
        <w:t xml:space="preserve">*</w:t>
      </w:r>
      <w:r>
        <w:t xml:space="preserve"> </w:t>
      </w:r>
      <w:r>
        <w:rPr>
          <w:b/>
        </w:rPr>
        <w:t xml:space="preserve">RQ3:</w:t>
      </w:r>
      <w:r>
        <w:t xml:space="preserve"> </w:t>
      </w:r>
      <w:r>
        <w:t xml:space="preserve">Does the presence of personalisation options mitigate the negative impact of regulatory friction points (e.g., extensive KYC data entry)?</w:t>
      </w:r>
      <w:r>
        <w:t xml:space="preserve"> </w:t>
      </w:r>
      <w:r>
        <w:t xml:space="preserve">*</w:t>
      </w:r>
      <w:r>
        <w:t xml:space="preserve"> </w:t>
      </w:r>
      <w:r>
        <w:rPr>
          <w:b/>
        </w:rPr>
        <w:t xml:space="preserve">RQ4:</w:t>
      </w:r>
      <w:r>
        <w:t xml:space="preserve"> </w:t>
      </w:r>
      <w:r>
        <w:t xml:space="preserve">How do these effects evolve over a longitudinal period? Do users habituate to the features, or does the value increase with repeated interaction (e.g., for existing customers applying for additional products)?</w:t>
      </w:r>
    </w:p>
    <w:p>
      <w:pPr>
        <w:pStyle w:val="Heading2"/>
      </w:pPr>
      <w:bookmarkStart w:id="28" w:name="significance-of-the-study"/>
      <w:r>
        <w:t xml:space="preserve">1.4 Significance of the Study</w:t>
      </w:r>
      <w:bookmarkEnd w:id="28"/>
    </w:p>
    <w:p>
      <w:pPr>
        <w:pStyle w:val="FirstParagraph"/>
      </w:pPr>
      <w:r>
        <w:t xml:space="preserve">This research holds significant value for both academic theory and practical application in the financial services industry.</w:t>
      </w:r>
    </w:p>
    <w:p>
      <w:pPr>
        <w:pStyle w:val="Heading3"/>
      </w:pPr>
      <w:bookmarkStart w:id="29" w:name="theoretical-contribution"/>
      <w:r>
        <w:t xml:space="preserve">1.4.1 Theoretical Contribution</w:t>
      </w:r>
      <w:bookmarkEnd w:id="29"/>
    </w:p>
    <w:p>
      <w:pPr>
        <w:pStyle w:val="FirstParagraph"/>
      </w:pPr>
      <w:r>
        <w:t xml:space="preserve">Academically, this study contributes to the literature on Human-Computer Interaction (HCI) in financial settings. It bridges the gap between marketing theories of personalisation as</w:t>
      </w:r>
      <w:r>
        <w:t xml:space="preserve"> </w:t>
      </w:r>
      <w:r>
        <w:t xml:space="preserve">“</w:t>
      </w:r>
      <w:r>
        <w:t xml:space="preserve">currency</w:t>
      </w:r>
      <w:r>
        <w:t xml:space="preserve">”</w:t>
      </w:r>
      <w:r>
        <w:t xml:space="preserve"> </w:t>
      </w:r>
      <w:r>
        <w:t xml:space="preserve">(Ridgway, 2015) and the technical implementation of secure financial systems. By applying rigorous experimental methods advocated by Kohavi and Tang (Kohavi &amp; Tang, 2020), the study provides high-quality empirical data in a field often dominated by case studies or high-level maturity models (Lie et al., 2024). It also extends the understanding of</w:t>
      </w:r>
      <w:r>
        <w:t xml:space="preserve"> </w:t>
      </w:r>
      <w:r>
        <w:t xml:space="preserve">“</w:t>
      </w:r>
      <w:r>
        <w:t xml:space="preserve">algorithmic fairness</w:t>
      </w:r>
      <w:r>
        <w:t xml:space="preserve">”</w:t>
      </w:r>
      <w:r>
        <w:t xml:space="preserve"> </w:t>
      </w:r>
      <w:r>
        <w:t xml:space="preserve">and ethics (Sriram, 2025) by examining how users perceive and interact with systems that may use their data to tailor experiences.</w:t>
      </w:r>
    </w:p>
    <w:p>
      <w:pPr>
        <w:pStyle w:val="Heading3"/>
      </w:pPr>
      <w:bookmarkStart w:id="30" w:name="practical-contribution"/>
      <w:r>
        <w:t xml:space="preserve">1.4.2 Practical Contribution</w:t>
      </w:r>
      <w:bookmarkEnd w:id="30"/>
    </w:p>
    <w:p>
      <w:pPr>
        <w:pStyle w:val="FirstParagraph"/>
      </w:pPr>
      <w:r>
        <w:t xml:space="preserve">For the banking industry, the findings offer actionable insights for digital product owners and UX designers. As banks struggle with the</w:t>
      </w:r>
      <w:r>
        <w:t xml:space="preserve"> </w:t>
      </w:r>
      <w:r>
        <w:t xml:space="preserve">“</w:t>
      </w:r>
      <w:r>
        <w:t xml:space="preserve">innovation paradox</w:t>
      </w:r>
      <w:r>
        <w:t xml:space="preserve">”</w:t>
      </w:r>
      <w:r>
        <w:t xml:space="preserve"> </w:t>
      </w:r>
      <w:r>
        <w:t xml:space="preserve">(Mushtaq, 2025), evidence-based guidelines on how to implement personalisation without compromising security are invaluable.</w:t>
      </w:r>
      <w:r>
        <w:t xml:space="preserve"> </w:t>
      </w:r>
      <w:r>
        <w:t xml:space="preserve">*</w:t>
      </w:r>
      <w:r>
        <w:t xml:space="preserve"> </w:t>
      </w:r>
      <w:r>
        <w:rPr>
          <w:b/>
        </w:rPr>
        <w:t xml:space="preserve">Optimization:</w:t>
      </w:r>
      <w:r>
        <w:t xml:space="preserve"> </w:t>
      </w:r>
      <w:r>
        <w:t xml:space="preserve">If personalisation is proven to increase conversion, banks can justify the investment in more flexible frontend architectures, such as Blazor server-side or client-side frameworks (Litvinavicius, 2019).</w:t>
      </w:r>
      <w:r>
        <w:t xml:space="preserve"> </w:t>
      </w:r>
      <w:r>
        <w:t xml:space="preserve">*</w:t>
      </w:r>
      <w:r>
        <w:t xml:space="preserve"> </w:t>
      </w:r>
      <w:r>
        <w:rPr>
          <w:b/>
        </w:rPr>
        <w:t xml:space="preserve">Compliance:</w:t>
      </w:r>
      <w:r>
        <w:t xml:space="preserve"> </w:t>
      </w:r>
      <w:r>
        <w:t xml:space="preserve">Understanding how personalisation interacts with KYC requirements (Zentoni et al., 2025) can help design compliance flows that feel less intrusive.</w:t>
      </w:r>
      <w:r>
        <w:t xml:space="preserve"> </w:t>
      </w:r>
      <w:r>
        <w:t xml:space="preserve">*</w:t>
      </w:r>
      <w:r>
        <w:t xml:space="preserve"> </w:t>
      </w:r>
      <w:r>
        <w:rPr>
          <w:b/>
        </w:rPr>
        <w:t xml:space="preserve">Competitive Advantage:</w:t>
      </w:r>
      <w:r>
        <w:t xml:space="preserve"> </w:t>
      </w:r>
      <w:r>
        <w:t xml:space="preserve">In a market where digital maturity is becoming standardized (Deloitte, 2026), superior UX driven by personalisation can become a key differentiator.</w:t>
      </w:r>
    </w:p>
    <w:p>
      <w:pPr>
        <w:pStyle w:val="Heading2"/>
      </w:pPr>
      <w:bookmarkStart w:id="31" w:name="X54dc5bd2ff1e50a8300acffa36ba20fdc79261e"/>
      <w:r>
        <w:t xml:space="preserve">1.5 Theoretical Framework and Contextual Boundaries</w:t>
      </w:r>
      <w:bookmarkEnd w:id="31"/>
    </w:p>
    <w:p>
      <w:pPr>
        <w:pStyle w:val="FirstParagraph"/>
      </w:pPr>
      <w:r>
        <w:t xml:space="preserve">The study is grounded in several theoretical domains. First, it draws upon the</w:t>
      </w:r>
      <w:r>
        <w:t xml:space="preserve"> </w:t>
      </w:r>
      <w:r>
        <w:rPr>
          <w:b/>
        </w:rPr>
        <w:t xml:space="preserve">Technology Acceptance Model (TAM)</w:t>
      </w:r>
      <w:r>
        <w:t xml:space="preserve"> </w:t>
      </w:r>
      <w:r>
        <w:t xml:space="preserve">and its extensions, which posit that perceived ease of use and perceived usefulness determine behavioral intention. Personalisation aims to enhance both by making the system more relevant (usefulness) and adaptable to user needs (ease of use).</w:t>
      </w:r>
    </w:p>
    <w:p>
      <w:pPr>
        <w:pStyle w:val="BodyText"/>
      </w:pPr>
      <w:r>
        <w:t xml:space="preserve">Second, it considers</w:t>
      </w:r>
      <w:r>
        <w:t xml:space="preserve"> </w:t>
      </w:r>
      <w:r>
        <w:rPr>
          <w:b/>
        </w:rPr>
        <w:t xml:space="preserve">Psychological theories of financial decision making</w:t>
      </w:r>
      <w:r>
        <w:t xml:space="preserve"> </w:t>
      </w:r>
      <w:r>
        <w:t xml:space="preserve">(Frydman &amp; Camerer, 2016). Applying for credit involves risk assessment and cognitive load. The presentation of information and the agency given to the user (via personalisation) can significantly influence cognitive strain and decision confidence.</w:t>
      </w:r>
    </w:p>
    <w:p>
      <w:pPr>
        <w:pStyle w:val="BodyText"/>
      </w:pPr>
      <w:r>
        <w:t xml:space="preserve">Third, the study operates within the technical constraints of modern web architecture. It considers the implications of</w:t>
      </w:r>
      <w:r>
        <w:t xml:space="preserve"> </w:t>
      </w:r>
      <w:r>
        <w:rPr>
          <w:b/>
        </w:rPr>
        <w:t xml:space="preserve">Client-side vs. Server-side processing</w:t>
      </w:r>
      <w:r>
        <w:t xml:space="preserve">. While client-side personalisation offers responsiveness (Asif &amp; Krogstie, 2013), it raises security concerns regarding code execution and data privacy, especially with threats like HTML smuggling (Dora &amp; Hluchý, 2025). Conversely, server-side approaches (e.g., Blazor) offer robustness but may differ in latency (Litvinavicius, 2019). The experiment is designed to be agnostic of specific backend implementations but mindful of the performance implications that affect UX.</w:t>
      </w:r>
    </w:p>
    <w:p>
      <w:pPr>
        <w:pStyle w:val="BodyText"/>
      </w:pPr>
      <w:r>
        <w:t xml:space="preserve">Table 2 summarizes the key interdisciplinary challenges that frame this research.</w:t>
      </w:r>
    </w:p>
    <w:tbl>
      <w:tblPr>
        <w:tblStyle w:val="Table"/>
        <w:tblW w:type="pct" w:w="5000"/>
        <w:tblLook w:firstRow="1"/>
        <w:tblLayout w:type="autofit"/>
      </w:tblPr>
      <w:tblGrid>
        <w:gridCol w:w="1195"/>
        <w:gridCol w:w="2241"/>
        <w:gridCol w:w="4483"/>
      </w:tblGrid>
      <w:tr>
        <w:trPr>
          <w:cnfStyle w:firstRow="1"/>
        </w:trPr>
        <w:tc>
          <w:tcPr>
            <w:tcBorders>
              <w:bottom w:val="single"/>
            </w:tcBorders>
            <w:vAlign w:val="bottom"/>
            <w:noWrap/>
          </w:tcPr>
          <w:p>
            <w:pPr>
              <w:pStyle w:val="Compact"/>
              <w:spacing w:before="40" w:after="40"/>
              <w:jc w:val="left"/>
            </w:pPr>
            <w:r>
              <w:rPr>
                <w:sz w:val="20"/>
              </w:rPr>
              <w:t xml:space="preserve">Domain</w:t>
            </w:r>
          </w:p>
        </w:tc>
        <w:tc>
          <w:tcPr>
            <w:tcBorders>
              <w:bottom w:val="single"/>
            </w:tcBorders>
            <w:vAlign w:val="bottom"/>
          </w:tcPr>
          <w:p>
            <w:pPr>
              <w:pStyle w:val="Compact"/>
              <w:spacing w:before="40" w:after="40"/>
              <w:jc w:val="left"/>
            </w:pPr>
            <w:r>
              <w:rPr>
                <w:sz w:val="20"/>
              </w:rPr>
              <w:t xml:space="preserve">Key Challenge</w:t>
            </w:r>
          </w:p>
        </w:tc>
        <w:tc>
          <w:tcPr>
            <w:tcBorders>
              <w:bottom w:val="single"/>
            </w:tcBorders>
            <w:vAlign w:val="bottom"/>
          </w:tcPr>
          <w:p>
            <w:pPr>
              <w:pStyle w:val="Compact"/>
              <w:spacing w:before="40" w:after="40"/>
              <w:jc w:val="left"/>
            </w:pPr>
            <w:r>
              <w:rPr>
                <w:sz w:val="20"/>
              </w:rPr>
              <w:t xml:space="preserve">Relevance to Personalisation</w:t>
            </w:r>
          </w:p>
        </w:tc>
      </w:tr>
      <w:tr>
        <w:tc>
          <w:tcPr>
            <w:noWrap/>
          </w:tcPr>
          <w:p>
            <w:pPr>
              <w:pStyle w:val="Compact"/>
              <w:spacing w:before="40" w:after="40"/>
              <w:jc w:val="left"/>
            </w:pPr>
            <w:r>
              <w:rPr>
                <w:b/>
                <w:sz w:val="20"/>
              </w:rPr>
              <w:t xml:space="preserve">Security</w:t>
            </w:r>
          </w:p>
        </w:tc>
        <w:tc>
          <w:tcPr/>
          <w:p>
            <w:pPr>
              <w:pStyle w:val="Compact"/>
              <w:spacing w:before="40" w:after="40"/>
              <w:jc w:val="left"/>
            </w:pPr>
            <w:r>
              <w:rPr>
                <w:sz w:val="20"/>
              </w:rPr>
              <w:t xml:space="preserve">Data Privacy &amp; Integrity</w:t>
            </w:r>
          </w:p>
        </w:tc>
        <w:tc>
          <w:tcPr/>
          <w:p>
            <w:pPr>
              <w:pStyle w:val="Compact"/>
              <w:spacing w:before="40" w:after="40"/>
              <w:jc w:val="left"/>
            </w:pPr>
            <w:r>
              <w:rPr>
                <w:sz w:val="20"/>
              </w:rPr>
              <w:t xml:space="preserve">Personalisation requires data access; increases attack surface (e.g., SQL injection, XSS) (Markulin et al., 2025)(Dora &amp; Hluchý, 2025).</w:t>
            </w:r>
          </w:p>
        </w:tc>
      </w:tr>
      <w:tr>
        <w:tc>
          <w:tcPr>
            <w:noWrap/>
          </w:tcPr>
          <w:p>
            <w:pPr>
              <w:pStyle w:val="Compact"/>
              <w:spacing w:before="40" w:after="40"/>
              <w:jc w:val="left"/>
            </w:pPr>
            <w:r>
              <w:rPr>
                <w:b/>
                <w:sz w:val="20"/>
              </w:rPr>
              <w:t xml:space="preserve">Regulation</w:t>
            </w:r>
          </w:p>
        </w:tc>
        <w:tc>
          <w:tcPr/>
          <w:p>
            <w:pPr>
              <w:pStyle w:val="Compact"/>
              <w:spacing w:before="40" w:after="40"/>
              <w:jc w:val="left"/>
            </w:pPr>
            <w:r>
              <w:rPr>
                <w:sz w:val="20"/>
              </w:rPr>
              <w:t xml:space="preserve">KYC/AML Compliance</w:t>
            </w:r>
          </w:p>
        </w:tc>
        <w:tc>
          <w:tcPr/>
          <w:p>
            <w:pPr>
              <w:pStyle w:val="Compact"/>
              <w:spacing w:before="40" w:after="40"/>
              <w:jc w:val="left"/>
            </w:pPr>
            <w:r>
              <w:rPr>
                <w:sz w:val="20"/>
              </w:rPr>
              <w:t xml:space="preserve">Rigid data requirements conflict with flexible user flows (Zentoni et al., 2025).</w:t>
            </w:r>
          </w:p>
        </w:tc>
      </w:tr>
      <w:tr>
        <w:tc>
          <w:tcPr>
            <w:noWrap/>
          </w:tcPr>
          <w:p>
            <w:pPr>
              <w:pStyle w:val="Compact"/>
              <w:spacing w:before="40" w:after="40"/>
              <w:jc w:val="left"/>
            </w:pPr>
            <w:r>
              <w:rPr>
                <w:b/>
                <w:sz w:val="20"/>
              </w:rPr>
              <w:t xml:space="preserve">Technology</w:t>
            </w:r>
          </w:p>
        </w:tc>
        <w:tc>
          <w:tcPr/>
          <w:p>
            <w:pPr>
              <w:pStyle w:val="Compact"/>
              <w:spacing w:before="40" w:after="40"/>
              <w:jc w:val="left"/>
            </w:pPr>
            <w:r>
              <w:rPr>
                <w:sz w:val="20"/>
              </w:rPr>
              <w:t xml:space="preserve">Device Fragmentation</w:t>
            </w:r>
          </w:p>
        </w:tc>
        <w:tc>
          <w:tcPr/>
          <w:p>
            <w:pPr>
              <w:pStyle w:val="Compact"/>
              <w:spacing w:before="40" w:after="40"/>
              <w:jc w:val="left"/>
            </w:pPr>
            <w:r>
              <w:rPr>
                <w:sz w:val="20"/>
              </w:rPr>
              <w:t xml:space="preserve">Interfaces must adapt to diverse screen sizes and inputs (Dumont, 2015).</w:t>
            </w:r>
          </w:p>
        </w:tc>
      </w:tr>
      <w:tr>
        <w:tc>
          <w:tcPr>
            <w:noWrap/>
          </w:tcPr>
          <w:p>
            <w:pPr>
              <w:pStyle w:val="Compact"/>
              <w:spacing w:before="40" w:after="40"/>
              <w:jc w:val="left"/>
            </w:pPr>
            <w:r>
              <w:rPr>
                <w:b/>
                <w:sz w:val="20"/>
              </w:rPr>
              <w:t xml:space="preserve">Psychology</w:t>
            </w:r>
          </w:p>
        </w:tc>
        <w:tc>
          <w:tcPr/>
          <w:p>
            <w:pPr>
              <w:pStyle w:val="Compact"/>
              <w:spacing w:before="40" w:after="40"/>
              <w:jc w:val="left"/>
            </w:pPr>
            <w:r>
              <w:rPr>
                <w:sz w:val="20"/>
              </w:rPr>
              <w:t xml:space="preserve">Trust &amp; Cognitive Load</w:t>
            </w:r>
          </w:p>
        </w:tc>
        <w:tc>
          <w:tcPr/>
          <w:p>
            <w:pPr>
              <w:pStyle w:val="Compact"/>
              <w:spacing w:before="40" w:after="40"/>
              <w:jc w:val="left"/>
            </w:pPr>
            <w:r>
              <w:rPr>
                <w:sz w:val="20"/>
              </w:rPr>
              <w:t xml:space="preserve">Users must trust the system enough to share sensitive data; personalisation must not overwhelm (Frydman &amp; Camerer, 2016).</w:t>
            </w:r>
          </w:p>
        </w:tc>
      </w:tr>
      <w:tr>
        <w:tc>
          <w:tcPr>
            <w:noWrap/>
          </w:tcPr>
          <w:p>
            <w:pPr>
              <w:pStyle w:val="Compact"/>
              <w:spacing w:before="40" w:after="40"/>
              <w:jc w:val="left"/>
            </w:pPr>
            <w:r>
              <w:rPr>
                <w:b/>
                <w:sz w:val="20"/>
              </w:rPr>
              <w:t xml:space="preserve">Ethics</w:t>
            </w:r>
          </w:p>
        </w:tc>
        <w:tc>
          <w:tcPr/>
          <w:p>
            <w:pPr>
              <w:pStyle w:val="Compact"/>
              <w:spacing w:before="40" w:after="40"/>
              <w:jc w:val="left"/>
            </w:pPr>
            <w:r>
              <w:rPr>
                <w:sz w:val="20"/>
              </w:rPr>
              <w:t xml:space="preserve">Algorithmic Bias</w:t>
            </w:r>
          </w:p>
        </w:tc>
        <w:tc>
          <w:tcPr/>
          <w:p>
            <w:pPr>
              <w:pStyle w:val="Compact"/>
              <w:spacing w:before="40" w:after="40"/>
              <w:jc w:val="left"/>
            </w:pPr>
            <w:r>
              <w:rPr>
                <w:sz w:val="20"/>
              </w:rPr>
              <w:t xml:space="preserve">Automated tailoring must avoid discriminatory exclusion in credit access (Sriram, 2025).</w:t>
            </w:r>
          </w:p>
        </w:tc>
      </w:tr>
    </w:tbl>
    <w:p>
      <w:pPr>
        <w:pStyle w:val="BodyText"/>
      </w:pPr>
      <w:r>
        <w:rPr>
          <w:i/>
        </w:rPr>
        <w:t xml:space="preserve">Table 2: Interdisciplinary Challenges in Personalised Credit Applications. Synthesized from (Markulin et al., 2025), (Sriram, 2025), (Dumont, 2015), (Frydman &amp; Camerer, 2016), and (Zentoni et al., 2025).</w:t>
      </w:r>
    </w:p>
    <w:p>
      <w:pPr>
        <w:pStyle w:val="BodyText"/>
      </w:pPr>
      <w:r>
        <w:t xml:space="preserve">The study is delimited to</w:t>
      </w:r>
      <w:r>
        <w:t xml:space="preserve"> </w:t>
      </w:r>
      <w:r>
        <w:rPr>
          <w:i/>
        </w:rPr>
        <w:t xml:space="preserve">web-based</w:t>
      </w:r>
      <w:r>
        <w:t xml:space="preserve"> </w:t>
      </w:r>
      <w:r>
        <w:t xml:space="preserve">applications (accessed via browser on mobile or desktop) rather than native mobile apps, to control for the variability of app store distribution and installation barriers. It specifically focuses on the</w:t>
      </w:r>
      <w:r>
        <w:t xml:space="preserve"> </w:t>
      </w:r>
      <w:r>
        <w:rPr>
          <w:i/>
        </w:rPr>
        <w:t xml:space="preserve">application phase</w:t>
      </w:r>
      <w:r>
        <w:t xml:space="preserve"> </w:t>
      </w:r>
      <w:r>
        <w:t xml:space="preserve">(acquisition), not the post-approval usage phase.</w:t>
      </w:r>
    </w:p>
    <w:p>
      <w:pPr>
        <w:pStyle w:val="Heading2"/>
      </w:pPr>
      <w:bookmarkStart w:id="32" w:name="methodology-overview"/>
      <w:r>
        <w:t xml:space="preserve">1.6 Methodology Overview</w:t>
      </w:r>
      <w:bookmarkEnd w:id="32"/>
    </w:p>
    <w:p>
      <w:pPr>
        <w:pStyle w:val="FirstParagraph"/>
      </w:pPr>
      <w:r>
        <w:t xml:space="preserve">To address the research questions, this thesis employs a</w:t>
      </w:r>
      <w:r>
        <w:t xml:space="preserve"> </w:t>
      </w:r>
      <w:r>
        <w:rPr>
          <w:b/>
        </w:rPr>
        <w:t xml:space="preserve">Longitudinal Online Controlled Experiment</w:t>
      </w:r>
      <w:r>
        <w:t xml:space="preserve">, commonly known as an A/B test. This methodology is selected because it is the</w:t>
      </w:r>
      <w:r>
        <w:t xml:space="preserve"> </w:t>
      </w:r>
      <w:r>
        <w:t xml:space="preserve">“</w:t>
      </w:r>
      <w:r>
        <w:t xml:space="preserve">gold standard</w:t>
      </w:r>
      <w:r>
        <w:t xml:space="preserve">”</w:t>
      </w:r>
      <w:r>
        <w:t xml:space="preserve"> </w:t>
      </w:r>
      <w:r>
        <w:t xml:space="preserve">for establishing causality in user behavior studies (Kohavi &amp; Tang, 2020).</w:t>
      </w:r>
    </w:p>
    <w:p>
      <w:pPr>
        <w:pStyle w:val="BodyText"/>
      </w:pPr>
      <w:r>
        <w:t xml:space="preserve">The experiment involves the development of a high-fidelity prototype simulating a credit card application for a fictitious bank. Participants are recruited and randomly assigned to one of two groups:</w:t>
      </w:r>
      <w:r>
        <w:t xml:space="preserve"> </w:t>
      </w:r>
      <w:r>
        <w:t xml:space="preserve">1.</w:t>
      </w:r>
      <w:r>
        <w:t xml:space="preserve"> </w:t>
      </w:r>
      <w:r>
        <w:rPr>
          <w:b/>
        </w:rPr>
        <w:t xml:space="preserve">Control Group (Group A):</w:t>
      </w:r>
      <w:r>
        <w:t xml:space="preserve"> </w:t>
      </w:r>
      <w:r>
        <w:t xml:space="preserve">Experiences a standard, linear, static application flow typical of current banking standards.</w:t>
      </w:r>
      <w:r>
        <w:t xml:space="preserve"> </w:t>
      </w:r>
      <w:r>
        <w:t xml:space="preserve">2.</w:t>
      </w:r>
      <w:r>
        <w:t xml:space="preserve"> </w:t>
      </w:r>
      <w:r>
        <w:rPr>
          <w:b/>
        </w:rPr>
        <w:t xml:space="preserve">Experimental Group (Group B):</w:t>
      </w:r>
      <w:r>
        <w:t xml:space="preserve"> </w:t>
      </w:r>
      <w:r>
        <w:t xml:space="preserve">Experiences a flexible flow with personalisation options (e.g.,</w:t>
      </w:r>
      <w:r>
        <w:t xml:space="preserve"> </w:t>
      </w:r>
      <w:r>
        <w:t xml:space="preserve">“</w:t>
      </w:r>
      <w:r>
        <w:t xml:space="preserve">Save for Later,</w:t>
      </w:r>
      <w:r>
        <w:t xml:space="preserve">”</w:t>
      </w:r>
      <w:r>
        <w:t xml:space="preserve"> </w:t>
      </w:r>
      <w:r>
        <w:t xml:space="preserve">“</w:t>
      </w:r>
      <w:r>
        <w:t xml:space="preserve">Quick Apply</w:t>
      </w:r>
      <w:r>
        <w:t xml:space="preserve">”</w:t>
      </w:r>
      <w:r>
        <w:t xml:space="preserve"> </w:t>
      </w:r>
      <w:r>
        <w:t xml:space="preserve">vs. </w:t>
      </w:r>
      <w:r>
        <w:t xml:space="preserve">“</w:t>
      </w:r>
      <w:r>
        <w:t xml:space="preserve">Detailed Guide,</w:t>
      </w:r>
      <w:r>
        <w:t xml:space="preserve">”</w:t>
      </w:r>
      <w:r>
        <w:t xml:space="preserve"> </w:t>
      </w:r>
      <w:r>
        <w:t xml:space="preserve">UI density controls).</w:t>
      </w:r>
    </w:p>
    <w:p>
      <w:pPr>
        <w:pStyle w:val="BodyText"/>
      </w:pPr>
      <w:r>
        <w:t xml:space="preserve">Data is collected over a period of three months to observe longitudinal effects. Metrics include:</w:t>
      </w:r>
      <w:r>
        <w:t xml:space="preserve"> </w:t>
      </w:r>
      <w:r>
        <w:t xml:space="preserve">*</w:t>
      </w:r>
      <w:r>
        <w:t xml:space="preserve"> </w:t>
      </w:r>
      <w:r>
        <w:rPr>
          <w:b/>
        </w:rPr>
        <w:t xml:space="preserve">Quantitative:</w:t>
      </w:r>
      <w:r>
        <w:t xml:space="preserve"> </w:t>
      </w:r>
      <w:r>
        <w:t xml:space="preserve">Conversion rate, time on task, error rates, number of support requests (simulated).</w:t>
      </w:r>
      <w:r>
        <w:t xml:space="preserve"> </w:t>
      </w:r>
      <w:r>
        <w:t xml:space="preserve">*</w:t>
      </w:r>
      <w:r>
        <w:t xml:space="preserve"> </w:t>
      </w:r>
      <w:r>
        <w:rPr>
          <w:b/>
        </w:rPr>
        <w:t xml:space="preserve">Qualitative:</w:t>
      </w:r>
      <w:r>
        <w:t xml:space="preserve"> </w:t>
      </w:r>
      <w:r>
        <w:t xml:space="preserve">Post-experiment surveys measuring satisfaction (Net Promoter Score) and perceived trust.</w:t>
      </w:r>
    </w:p>
    <w:p>
      <w:pPr>
        <w:pStyle w:val="BodyText"/>
      </w:pPr>
      <w:r>
        <w:t xml:space="preserve">The analysis uses statistical methods appropriate for A/B testing, including t-tests for continuous variables (time) and chi-square tests for categorical variables (conversion), as detailed in standard experimentation literature (Kohavi &amp; Tang, 2020). Furthermore, the study incorporates techniques to ensure the</w:t>
      </w:r>
      <w:r>
        <w:t xml:space="preserve"> </w:t>
      </w:r>
      <w:r>
        <w:t xml:space="preserve">“</w:t>
      </w:r>
      <w:r>
        <w:t xml:space="preserve">trustworthiness</w:t>
      </w:r>
      <w:r>
        <w:t xml:space="preserve">”</w:t>
      </w:r>
      <w:r>
        <w:t xml:space="preserve"> </w:t>
      </w:r>
      <w:r>
        <w:t xml:space="preserve">of the results, checking for sample ratio mismatch (SRM) and other common pitfalls in online experimentation (Kohavi &amp; Tang, 2020).</w:t>
      </w:r>
    </w:p>
    <w:p>
      <w:pPr>
        <w:pStyle w:val="Heading2"/>
      </w:pPr>
      <w:bookmarkStart w:id="33" w:name="thesis-structure"/>
      <w:r>
        <w:t xml:space="preserve">1.7 Thesis Structure</w:t>
      </w:r>
      <w:bookmarkEnd w:id="33"/>
    </w:p>
    <w:p>
      <w:pPr>
        <w:pStyle w:val="FirstParagraph"/>
      </w:pPr>
      <w:r>
        <w:t xml:space="preserve">The remainder of this thesis is organized as follows:</w:t>
      </w:r>
    </w:p>
    <w:p>
      <w:pPr>
        <w:pStyle w:val="BodyText"/>
      </w:pPr>
      <w:r>
        <w:rPr>
          <w:b/>
        </w:rPr>
        <w:t xml:space="preserve">Chapter 2: Literature Review</w:t>
      </w:r>
      <w:r>
        <w:t xml:space="preserve"> </w:t>
      </w:r>
      <w:r>
        <w:t xml:space="preserve">provides a comprehensive analysis of existing research. It covers the evolution of digital banking and the</w:t>
      </w:r>
      <w:r>
        <w:t xml:space="preserve"> </w:t>
      </w:r>
      <w:r>
        <w:t xml:space="preserve">“</w:t>
      </w:r>
      <w:r>
        <w:t xml:space="preserve">innovation paradox</w:t>
      </w:r>
      <w:r>
        <w:t xml:space="preserve">”</w:t>
      </w:r>
      <w:r>
        <w:t xml:space="preserve"> </w:t>
      </w:r>
      <w:r>
        <w:t xml:space="preserve">(Mushtaq, 2025), deep dives into the mechanics and ethics of personalisation (Ridgway, 2015)(Sriram, 2025), and reviews the technical and regulatory environment of credit applications, including KYC (Zentoni et al., 2025) and security considerations (Markulin et al., 2025). It also examines the psychological aspects of financial decision-making (Frydman &amp; Camerer, 2016).</w:t>
      </w:r>
    </w:p>
    <w:p>
      <w:pPr>
        <w:pStyle w:val="BodyText"/>
      </w:pPr>
      <w:r>
        <w:rPr>
          <w:b/>
        </w:rPr>
        <w:t xml:space="preserve">Chapter 3: Methodology</w:t>
      </w:r>
      <w:r>
        <w:t xml:space="preserve"> </w:t>
      </w:r>
      <w:r>
        <w:t xml:space="preserve">details the research design. It describes the prototype development, the specific personalisation variables manipulated, the recruitment strategy, and the statistical framework used for the online controlled experiment. It justifies the choice of a longitudinal approach and discusses ethical considerations.</w:t>
      </w:r>
    </w:p>
    <w:p>
      <w:pPr>
        <w:pStyle w:val="BodyText"/>
      </w:pPr>
      <w:r>
        <w:rPr>
          <w:b/>
        </w:rPr>
        <w:t xml:space="preserve">Chapter 4: Analysis and Results</w:t>
      </w:r>
      <w:r>
        <w:t xml:space="preserve"> </w:t>
      </w:r>
      <w:r>
        <w:t xml:space="preserve">presents the empirical data collected from the experiment. It includes statistical analysis of conversion rates, user engagement metrics, and survey responses. This section uses tables and figures to visualize the differences between the control and experimental groups.</w:t>
      </w:r>
    </w:p>
    <w:p>
      <w:pPr>
        <w:pStyle w:val="BodyText"/>
      </w:pPr>
      <w:r>
        <w:rPr>
          <w:b/>
        </w:rPr>
        <w:t xml:space="preserve">Chapter 5: Discussion</w:t>
      </w:r>
      <w:r>
        <w:t xml:space="preserve"> </w:t>
      </w:r>
      <w:r>
        <w:t xml:space="preserve">interprets the findings in the context of the theoretical framework. It discusses whether the</w:t>
      </w:r>
      <w:r>
        <w:t xml:space="preserve"> </w:t>
      </w:r>
      <w:r>
        <w:t xml:space="preserve">“</w:t>
      </w:r>
      <w:r>
        <w:t xml:space="preserve">innovation paradox</w:t>
      </w:r>
      <w:r>
        <w:t xml:space="preserve">”</w:t>
      </w:r>
      <w:r>
        <w:t xml:space="preserve"> </w:t>
      </w:r>
      <w:r>
        <w:t xml:space="preserve">can be resolved through better UX, addresses the implications for mobile vs. Desktop users (Goldstein &amp; Hajaj, 2022), and analyzes the trade-offs between security and convenience.</w:t>
      </w:r>
    </w:p>
    <w:p>
      <w:pPr>
        <w:pStyle w:val="BodyText"/>
      </w:pPr>
      <w:r>
        <w:rPr>
          <w:b/>
        </w:rPr>
        <w:t xml:space="preserve">Chapter 6: Conclusion</w:t>
      </w:r>
      <w:r>
        <w:t xml:space="preserve"> </w:t>
      </w:r>
      <w:r>
        <w:t xml:space="preserve">summarizes the key contributions, acknowledges limitations, and proposes directions for future research, such as the integration of generative AI in testing workflows (Markulin et al., 2025) or the expansion to other financial products like mortgages or SME lending (Limited, 2017).</w:t>
      </w:r>
    </w:p>
    <w:p>
      <w:pPr>
        <w:pStyle w:val="Heading2"/>
      </w:pPr>
      <w:bookmarkStart w:id="34" w:name="definitions-of-key-terms"/>
      <w:r>
        <w:t xml:space="preserve">1.8 Definitions of Key Terms</w:t>
      </w:r>
      <w:bookmarkEnd w:id="34"/>
    </w:p>
    <w:p>
      <w:pPr>
        <w:pStyle w:val="FirstParagraph"/>
      </w:pPr>
      <w:r>
        <w:t xml:space="preserve">To ensure clarity, the following terms are defined for the context of this study:</w:t>
      </w:r>
    </w:p>
    <w:p>
      <w:pPr>
        <w:numPr>
          <w:ilvl w:val="0"/>
          <w:numId w:val="1001"/>
        </w:numPr>
        <w:pStyle w:val="Compact"/>
      </w:pPr>
      <w:r>
        <w:rPr>
          <w:b/>
        </w:rPr>
        <w:t xml:space="preserve">Personalisation:</w:t>
      </w:r>
      <w:r>
        <w:t xml:space="preserve"> </w:t>
      </w:r>
      <w:r>
        <w:t xml:space="preserve">The process of tailoring the digital interface and user journey to individual preferences or characteristics, distinct from</w:t>
      </w:r>
      <w:r>
        <w:t xml:space="preserve"> </w:t>
      </w:r>
      <w:r>
        <w:t xml:space="preserve">“</w:t>
      </w:r>
      <w:r>
        <w:t xml:space="preserve">Customization</w:t>
      </w:r>
      <w:r>
        <w:t xml:space="preserve">”</w:t>
      </w:r>
      <w:r>
        <w:t xml:space="preserve"> </w:t>
      </w:r>
      <w:r>
        <w:t xml:space="preserve">where the user explicitly chooses changes. In this study, we explore both system-driven and user-driven modifications.</w:t>
      </w:r>
    </w:p>
    <w:p>
      <w:pPr>
        <w:numPr>
          <w:ilvl w:val="0"/>
          <w:numId w:val="1001"/>
        </w:numPr>
        <w:pStyle w:val="Compact"/>
      </w:pPr>
      <w:r>
        <w:rPr>
          <w:b/>
        </w:rPr>
        <w:t xml:space="preserve">Online Controlled Experiment (A/B Test):</w:t>
      </w:r>
      <w:r>
        <w:t xml:space="preserve"> </w:t>
      </w:r>
      <w:r>
        <w:t xml:space="preserve">A randomized experiment with two variants, A and B, which are the control and treatment in the controlled experiment (Kohavi &amp; Tang, 2020).</w:t>
      </w:r>
    </w:p>
    <w:p>
      <w:pPr>
        <w:numPr>
          <w:ilvl w:val="0"/>
          <w:numId w:val="1001"/>
        </w:numPr>
        <w:pStyle w:val="Compact"/>
      </w:pPr>
      <w:r>
        <w:rPr>
          <w:b/>
        </w:rPr>
        <w:t xml:space="preserve">KYC (Know Your Customer):</w:t>
      </w:r>
      <w:r>
        <w:t xml:space="preserve"> </w:t>
      </w:r>
      <w:r>
        <w:t xml:space="preserve">Mandatory framework for identifying and verifying the identity of clients to prevent financial crimes (Zentoni et al., 2025).</w:t>
      </w:r>
    </w:p>
    <w:p>
      <w:pPr>
        <w:numPr>
          <w:ilvl w:val="0"/>
          <w:numId w:val="1001"/>
        </w:numPr>
        <w:pStyle w:val="Compact"/>
      </w:pPr>
      <w:r>
        <w:rPr>
          <w:b/>
        </w:rPr>
        <w:t xml:space="preserve">Conversion Rate:</w:t>
      </w:r>
      <w:r>
        <w:t xml:space="preserve"> </w:t>
      </w:r>
      <w:r>
        <w:t xml:space="preserve">The percentage of users who start the credit card application and successfully submit it.</w:t>
      </w:r>
    </w:p>
    <w:p>
      <w:pPr>
        <w:numPr>
          <w:ilvl w:val="0"/>
          <w:numId w:val="1001"/>
        </w:numPr>
        <w:pStyle w:val="Compact"/>
      </w:pPr>
      <w:r>
        <w:rPr>
          <w:b/>
        </w:rPr>
        <w:t xml:space="preserve">Digital Banking Maturity:</w:t>
      </w:r>
      <w:r>
        <w:t xml:space="preserve"> </w:t>
      </w:r>
      <w:r>
        <w:t xml:space="preserve">A measure of the extent to which a bank has digitized its processes and customer interactions (Deloitte, 2026).</w:t>
      </w:r>
    </w:p>
    <w:p>
      <w:pPr>
        <w:numPr>
          <w:ilvl w:val="0"/>
          <w:numId w:val="1001"/>
        </w:numPr>
        <w:pStyle w:val="Compact"/>
      </w:pPr>
      <w:r>
        <w:rPr>
          <w:b/>
        </w:rPr>
        <w:t xml:space="preserve">HTML Smuggling:</w:t>
      </w:r>
      <w:r>
        <w:t xml:space="preserve"> </w:t>
      </w:r>
      <w:r>
        <w:t xml:space="preserve">A security evasion technique where malicious files are constructed client-side using HTML5 and JavaScript, relevant to the security risks of client-side heavy applications (Dora &amp; Hluchý, 2025).</w:t>
      </w:r>
    </w:p>
    <w:p>
      <w:pPr>
        <w:pStyle w:val="FirstParagraph"/>
      </w:pPr>
      <w:r>
        <w:t xml:space="preserve">This introduction sets the stage for a rigorous investigation into how the banking sector can uses personalisation to improve the critical metric of credit card application conversion, balancing the competing demands of user experience, security, and regulation. By moving beyond high-level strategy discussions to empirical testing, this thesis aims to provide concrete evidence to support the next wave of digital banking innovation.</w:t>
      </w:r>
    </w:p>
    <w:p>
      <w:pPr>
        <w:pStyle w:val="BodyText"/>
      </w:pPr>
      <w:r>
        <w:t xml:space="preserve">The subsequent chapters will construct the theoretical foundation necessary to understand the complexities of this domain, beginning with a detailed review of the literature concerning digital banking innovation and user behavior.</w:t>
      </w:r>
    </w:p>
    <w:p>
      <w:pPr>
        <w:pStyle w:val="Heading1"/>
      </w:pPr>
      <w:bookmarkStart w:id="35" w:name="main-body"/>
      <w:r>
        <w:t xml:space="preserve">2. Main Body</w:t>
      </w:r>
      <w:bookmarkEnd w:id="35"/>
    </w:p>
    <w:p>
      <w:pPr>
        <w:pStyle w:val="FirstParagraph"/>
      </w:pPr>
      <w:r>
        <w:t xml:space="preserve">The digitization of financial services has fundamentally altered the relationship between banking institutions and consumers, shifting from transactional interactions in physical branches to continuous, data-driven engagement through digital interfaces. This literature review critically examines the theoretical and empirical foundations relevant to the impact of personalization options in web-based credit card applications. The review is organized into five major sections: (1) the theoretical framework of digital banking innovation and maturity; (2) the mechanisms and economics of personalization in digital ecosystems; (3) algorithmic approaches to credit assessment and risk management; (4) user experience (UX) design in the context of security and regulatory constraints; and (5) methodological considerations for online controlled experiments in financial technology.</w:t>
      </w:r>
    </w:p>
    <w:p>
      <w:pPr>
        <w:pStyle w:val="Heading2"/>
      </w:pPr>
      <w:bookmarkStart w:id="36" w:name="Xf9005d7375bec5c1a79b801bbfaa37718ac0885"/>
      <w:r>
        <w:t xml:space="preserve">2.1.1 Theoretical Framework of Digital Banking Innovation</w:t>
      </w:r>
      <w:bookmarkEnd w:id="36"/>
    </w:p>
    <w:p>
      <w:pPr>
        <w:pStyle w:val="FirstParagraph"/>
      </w:pPr>
      <w:r>
        <w:t xml:space="preserve">The evolution of the financial sector is characterized by a rapid transition from legacy infrastructure to agile, customer-centric digital platforms. This transformation is not merely technological but represents a paradigmatic shift in how value is created, delivered, and captured in the banking industry.</w:t>
      </w:r>
    </w:p>
    <w:p>
      <w:pPr>
        <w:pStyle w:val="Heading3"/>
      </w:pPr>
      <w:bookmarkStart w:id="37" w:name="X13a7397310382ffbd078524468b565367c64630"/>
      <w:r>
        <w:t xml:space="preserve">2.1.1.1 The Innovation Paradox and Digital Transformation</w:t>
      </w:r>
      <w:bookmarkEnd w:id="37"/>
    </w:p>
    <w:p>
      <w:pPr>
        <w:pStyle w:val="FirstParagraph"/>
      </w:pPr>
      <w:r>
        <w:t xml:space="preserve">Contemporary banking operates under what Mushtaq (Mushtaq, 2025) describes as the</w:t>
      </w:r>
      <w:r>
        <w:t xml:space="preserve"> </w:t>
      </w:r>
      <w:r>
        <w:t xml:space="preserve">“</w:t>
      </w:r>
      <w:r>
        <w:t xml:space="preserve">innovation paradox.</w:t>
      </w:r>
      <w:r>
        <w:t xml:space="preserve">”</w:t>
      </w:r>
      <w:r>
        <w:t xml:space="preserve"> </w:t>
      </w:r>
      <w:r>
        <w:t xml:space="preserve">While financial institutions are compelled to innovate to survive in a market defined by shifting customer expectations and technological disruption, the highly regulated nature of the industry and the inertia of legacy systems often stifle the very innovation required. This paradox creates a tension between the need for stability–essential for maintaining trust and regulatory compliance–and the imperative for agility.</w:t>
      </w:r>
    </w:p>
    <w:p>
      <w:pPr>
        <w:pStyle w:val="BodyText"/>
      </w:pPr>
      <w:r>
        <w:t xml:space="preserve">Radhai and Rajendran (Radhai &amp; Rajendran, 2025) argue that Artificial Intelligence (AI) serves as a primary catalyst for breaking this paradox. By automating routine tasks and enabling data-driven decision-making, AI allows banks to streamline operations while simultaneously enhancing the customer experience. This transformation is evident in the shift from static product offerings to dynamic, personalized financial solutions. However, the integration of these technologies requires a fundamental restructuring of organizational logic, moving away from product-centric silos toward customer-centric ecosystems.</w:t>
      </w:r>
    </w:p>
    <w:p>
      <w:pPr>
        <w:pStyle w:val="Heading3"/>
      </w:pPr>
      <w:bookmarkStart w:id="38" w:name="digital-banking-maturity-models"/>
      <w:r>
        <w:t xml:space="preserve">2.1.1.2 Digital Banking Maturity Models</w:t>
      </w:r>
      <w:bookmarkEnd w:id="38"/>
    </w:p>
    <w:p>
      <w:pPr>
        <w:pStyle w:val="FirstParagraph"/>
      </w:pPr>
      <w:r>
        <w:t xml:space="preserve">To navigate this transformation, scholars have developed various frameworks to assess the readiness and maturity of financial institutions. Vaidya (Vaidya, 2022) proposes a comprehensive maturity assessment for the digital banking innovation framework. This model emphasizes that digitization must encompass the entire lifecycle of banking operations–front, middle, and back office. A superficial</w:t>
      </w:r>
      <w:r>
        <w:t xml:space="preserve"> </w:t>
      </w:r>
      <w:r>
        <w:t xml:space="preserve">“</w:t>
      </w:r>
      <w:r>
        <w:t xml:space="preserve">digital skin</w:t>
      </w:r>
      <w:r>
        <w:t xml:space="preserve">”</w:t>
      </w:r>
      <w:r>
        <w:t xml:space="preserve"> </w:t>
      </w:r>
      <w:r>
        <w:t xml:space="preserve">on top of legacy processes is insufficient; true maturity involves the integration of new-age technology wrappers with core banking systems.</w:t>
      </w:r>
    </w:p>
    <w:p>
      <w:pPr>
        <w:pStyle w:val="BodyText"/>
      </w:pPr>
      <w:r>
        <w:t xml:space="preserve">Similarly, Lie et al. (Lie et al., 2024) introduce a</w:t>
      </w:r>
      <w:r>
        <w:t xml:space="preserve"> </w:t>
      </w:r>
      <w:r>
        <w:t xml:space="preserve">“</w:t>
      </w:r>
      <w:r>
        <w:t xml:space="preserve">Maturity Matrix</w:t>
      </w:r>
      <w:r>
        <w:t xml:space="preserve">”</w:t>
      </w:r>
      <w:r>
        <w:t xml:space="preserve"> </w:t>
      </w:r>
      <w:r>
        <w:t xml:space="preserve">specifically for digital corporate governance. As banks adopt increasingly complex digital tools, the governance structures managing data privacy, algorithmic accountability, and cybersecurity must evolve in tandem. The Deloitte Digital Banking Maturity 2024 report (Deloitte, 2026) further corroborates this, suggesting that leaders in the field are distinguishing themselves not just by the number of digital features they offer, but by the smooth integration of these features into coherent user journeys.</w:t>
      </w:r>
    </w:p>
    <w:p>
      <w:pPr>
        <w:pStyle w:val="Heading3"/>
      </w:pPr>
      <w:bookmarkStart w:id="39" w:name="the-role-of-smes-and-niche-markets"/>
      <w:r>
        <w:t xml:space="preserve">2.1.1.3 The Role of SMEs and Niche Markets</w:t>
      </w:r>
      <w:bookmarkEnd w:id="39"/>
    </w:p>
    <w:p>
      <w:pPr>
        <w:pStyle w:val="FirstParagraph"/>
      </w:pPr>
      <w:r>
        <w:t xml:space="preserve">The impact of this digital maturation is particularly pronounced in specific market segments, such as Small and Medium Enterprise (SME) lending. Historically underserved due to high assessment costs and information asymmetry, SMEs are now beneficiaries of automated lending platforms. Research suggests that for banks to remain competitive in this sector, they must fundamentally</w:t>
      </w:r>
      <w:r>
        <w:t xml:space="preserve"> </w:t>
      </w:r>
      <w:r>
        <w:t xml:space="preserve">“</w:t>
      </w:r>
      <w:r>
        <w:t xml:space="preserve">change their game</w:t>
      </w:r>
      <w:r>
        <w:t xml:space="preserve">”</w:t>
      </w:r>
      <w:r>
        <w:t xml:space="preserve"> </w:t>
      </w:r>
      <w:r>
        <w:t xml:space="preserve">by leveraging digital data trails for credit assessment rather than relying solely on traditional financial statements (Limited, 2017). This shift mirrors the broader trend in consumer credit, where alternative data and behavioral analytics are becoming central to the application process.</w:t>
      </w:r>
    </w:p>
    <w:p>
      <w:pPr>
        <w:pStyle w:val="Heading2"/>
      </w:pPr>
      <w:bookmarkStart w:id="40" w:name="personalization-in-digital-ecosystems"/>
      <w:r>
        <w:t xml:space="preserve">2.1.2 Personalization in Digital Ecosystems</w:t>
      </w:r>
      <w:bookmarkEnd w:id="40"/>
    </w:p>
    <w:p>
      <w:pPr>
        <w:pStyle w:val="FirstParagraph"/>
      </w:pPr>
      <w:r>
        <w:t xml:space="preserve">Personalization has emerged as a dominant strategy in digital commerce, yet its implementation in financial services involves complex trade-offs between relevance, privacy, and commercial intent.</w:t>
      </w:r>
    </w:p>
    <w:p>
      <w:pPr>
        <w:pStyle w:val="Heading3"/>
      </w:pPr>
      <w:bookmarkStart w:id="41" w:name="the-political-economy-of-personalization"/>
      <w:r>
        <w:t xml:space="preserve">2.1.2.1 The Political Economy of Personalization</w:t>
      </w:r>
      <w:bookmarkEnd w:id="41"/>
    </w:p>
    <w:p>
      <w:pPr>
        <w:pStyle w:val="FirstParagraph"/>
      </w:pPr>
      <w:r>
        <w:t xml:space="preserve">Ridgway (Ridgway, 2015) offers a critical sociological perspective on personalization, framing it within the concept of</w:t>
      </w:r>
      <w:r>
        <w:t xml:space="preserve"> </w:t>
      </w:r>
      <w:r>
        <w:t xml:space="preserve">“</w:t>
      </w:r>
      <w:r>
        <w:t xml:space="preserve">cybercapitalism.</w:t>
      </w:r>
      <w:r>
        <w:t xml:space="preserve">”</w:t>
      </w:r>
      <w:r>
        <w:t xml:space="preserve"> </w:t>
      </w:r>
      <w:r>
        <w:t xml:space="preserve">In this view, personalization is not merely a service enhancement but a form of currency. User data and behavioral patterns are extracted and exchanged, creating a system where the</w:t>
      </w:r>
      <w:r>
        <w:t xml:space="preserve"> </w:t>
      </w:r>
      <w:r>
        <w:t xml:space="preserve">“</w:t>
      </w:r>
      <w:r>
        <w:t xml:space="preserve">relevance</w:t>
      </w:r>
      <w:r>
        <w:t xml:space="preserve">”</w:t>
      </w:r>
      <w:r>
        <w:t xml:space="preserve"> </w:t>
      </w:r>
      <w:r>
        <w:t xml:space="preserve">provided to the user serves the ultimate goal of managing user behavior for profit. Ridgway argues that personalization algorithms function to structure the choices available to users, effectively curating their digital reality to align with commercial objectives.</w:t>
      </w:r>
    </w:p>
    <w:p>
      <w:pPr>
        <w:pStyle w:val="BodyText"/>
      </w:pPr>
      <w:r>
        <w:t xml:space="preserve">This critical stance is essential when analyzing credit card applications. When a bank</w:t>
      </w:r>
      <w:r>
        <w:t xml:space="preserve"> </w:t>
      </w:r>
      <w:r>
        <w:t xml:space="preserve">“</w:t>
      </w:r>
      <w:r>
        <w:t xml:space="preserve">personalizes</w:t>
      </w:r>
      <w:r>
        <w:t xml:space="preserve">”</w:t>
      </w:r>
      <w:r>
        <w:t xml:space="preserve"> </w:t>
      </w:r>
      <w:r>
        <w:t xml:space="preserve">an offer, it is engaging in a dual process: optimizing the probability of conversion (user acceptance) while simultaneously optimizing the risk-adjusted return for the institution. The interface thus becomes a contested space where user autonomy interacts with algorithmic nudging.</w:t>
      </w:r>
    </w:p>
    <w:p>
      <w:pPr>
        <w:pStyle w:val="Heading3"/>
      </w:pPr>
      <w:bookmarkStart w:id="42" w:name="X0a4c3b600826bb1fdabcc6638f72cdce699d8de"/>
      <w:r>
        <w:t xml:space="preserve">2.1.2.2 Technical Architectures: Client-Side vs. Server-Side</w:t>
      </w:r>
      <w:bookmarkEnd w:id="42"/>
    </w:p>
    <w:p>
      <w:pPr>
        <w:pStyle w:val="FirstParagraph"/>
      </w:pPr>
      <w:r>
        <w:t xml:space="preserve">The implementation of personalization relies on specific technical architectures, each with distinct implications for performance and privacy.</w:t>
      </w:r>
    </w:p>
    <w:p>
      <w:pPr>
        <w:pStyle w:val="BodyText"/>
      </w:pPr>
      <w:r>
        <w:rPr>
          <w:b/>
        </w:rPr>
        <w:t xml:space="preserve">Client-Side Personalization:</w:t>
      </w:r>
      <w:r>
        <w:t xml:space="preserve"> </w:t>
      </w:r>
      <w:r>
        <w:t xml:space="preserve">Asif and Krogstie (Asif &amp; Krogstie, 2013) discuss mobile client-side personalization, where data processing and content adaptation occur on the user’s device. This approach offers advantages in terms of latency and responsiveness, as the interface can react immediately to user inputs without round-trip server requests. However, it introduces security vulnerabilities, particularly in the context of sensitive financial data.</w:t>
      </w:r>
    </w:p>
    <w:p>
      <w:pPr>
        <w:pStyle w:val="BodyText"/>
      </w:pPr>
      <w:r>
        <w:rPr>
          <w:b/>
        </w:rPr>
        <w:t xml:space="preserve">Server-Side Personalization:</w:t>
      </w:r>
      <w:r>
        <w:t xml:space="preserve"> </w:t>
      </w:r>
      <w:r>
        <w:t xml:space="preserve">Conversely, server-side approaches, such as those enabled by Blazor technologies described by Litvinavicius (Litvinavicius, 2019), centralize logic on the secure server. This architecture is generally preferred for high-security environments like banking, as it ensures that proprietary algorithms and sensitive decision logic are not exposed to the client browser. However, recent developments in</w:t>
      </w:r>
      <w:r>
        <w:t xml:space="preserve"> </w:t>
      </w:r>
      <w:r>
        <w:t xml:space="preserve">“</w:t>
      </w:r>
      <w:r>
        <w:t xml:space="preserve">HTML smuggling</w:t>
      </w:r>
      <w:r>
        <w:t xml:space="preserve">”</w:t>
      </w:r>
      <w:r>
        <w:t xml:space="preserve"> </w:t>
      </w:r>
      <w:r>
        <w:t xml:space="preserve">attacks (Dora &amp; Hluchý, 2025) demonstrate that even secure architectures must be vigilant against client-side code execution vulnerabilities.</w:t>
      </w:r>
    </w:p>
    <w:p>
      <w:pPr>
        <w:pStyle w:val="BodyText"/>
      </w:pPr>
      <w:r>
        <w:t xml:space="preserve">Table 1 summarizes the key differences between these architectural approaches in the context of financial applications.</w:t>
      </w:r>
    </w:p>
    <w:tbl>
      <w:tblPr>
        <w:tblStyle w:val="Table"/>
        <w:tblW w:type="pct" w:w="5000"/>
        <w:tblLook w:firstRow="1"/>
        <w:tblLayout w:type="autofit"/>
      </w:tblPr>
      <w:tblGrid>
        <w:gridCol w:w="734"/>
        <w:gridCol w:w="2367"/>
        <w:gridCol w:w="2367"/>
        <w:gridCol w:w="2449"/>
      </w:tblGrid>
      <w:tr>
        <w:trPr>
          <w:cnfStyle w:firstRow="1"/>
        </w:trPr>
        <w:tc>
          <w:tcPr>
            <w:tcBorders>
              <w:bottom w:val="single"/>
            </w:tcBorders>
            <w:vAlign w:val="bottom"/>
            <w:noWrap/>
          </w:tcPr>
          <w:p>
            <w:pPr>
              <w:pStyle w:val="Compact"/>
              <w:spacing w:before="40" w:after="40"/>
              <w:jc w:val="left"/>
            </w:pPr>
            <w:r>
              <w:rPr>
                <w:sz w:val="18"/>
              </w:rPr>
              <w:t xml:space="preserve">Feature</w:t>
            </w:r>
          </w:p>
        </w:tc>
        <w:tc>
          <w:tcPr>
            <w:tcBorders>
              <w:bottom w:val="single"/>
            </w:tcBorders>
            <w:vAlign w:val="bottom"/>
          </w:tcPr>
          <w:p>
            <w:pPr>
              <w:pStyle w:val="Compact"/>
              <w:spacing w:before="40" w:after="40"/>
              <w:jc w:val="left"/>
            </w:pPr>
            <w:r>
              <w:rPr>
                <w:sz w:val="18"/>
              </w:rPr>
              <w:t xml:space="preserve">Client-Side Personalization</w:t>
            </w:r>
          </w:p>
        </w:tc>
        <w:tc>
          <w:tcPr>
            <w:tcBorders>
              <w:bottom w:val="single"/>
            </w:tcBorders>
            <w:vAlign w:val="bottom"/>
          </w:tcPr>
          <w:p>
            <w:pPr>
              <w:pStyle w:val="Compact"/>
              <w:spacing w:before="40" w:after="40"/>
              <w:jc w:val="left"/>
            </w:pPr>
            <w:r>
              <w:rPr>
                <w:sz w:val="18"/>
              </w:rPr>
              <w:t xml:space="preserve">Server-Side Personalization</w:t>
            </w:r>
          </w:p>
        </w:tc>
        <w:tc>
          <w:tcPr>
            <w:tcBorders>
              <w:bottom w:val="single"/>
            </w:tcBorders>
            <w:vAlign w:val="bottom"/>
          </w:tcPr>
          <w:p>
            <w:pPr>
              <w:pStyle w:val="Compact"/>
              <w:spacing w:before="40" w:after="40"/>
              <w:jc w:val="left"/>
            </w:pPr>
            <w:r>
              <w:rPr>
                <w:sz w:val="18"/>
              </w:rPr>
              <w:t xml:space="preserve">Implications for Credit Apps</w:t>
            </w:r>
          </w:p>
        </w:tc>
      </w:tr>
      <w:tr>
        <w:tc>
          <w:tcPr>
            <w:noWrap/>
          </w:tcPr>
          <w:p>
            <w:pPr>
              <w:pStyle w:val="Compact"/>
              <w:spacing w:before="40" w:after="40"/>
              <w:jc w:val="left"/>
            </w:pPr>
            <w:r>
              <w:rPr>
                <w:b/>
                <w:sz w:val="18"/>
              </w:rPr>
              <w:t xml:space="preserve">Data Processing</w:t>
            </w:r>
          </w:p>
        </w:tc>
        <w:tc>
          <w:tcPr/>
          <w:p>
            <w:pPr>
              <w:pStyle w:val="Compact"/>
              <w:spacing w:before="40" w:after="40"/>
              <w:jc w:val="left"/>
            </w:pPr>
            <w:r>
              <w:rPr>
                <w:sz w:val="18"/>
              </w:rPr>
              <w:t xml:space="preserve">Local (User Device)</w:t>
            </w:r>
          </w:p>
        </w:tc>
        <w:tc>
          <w:tcPr/>
          <w:p>
            <w:pPr>
              <w:pStyle w:val="Compact"/>
              <w:spacing w:before="40" w:after="40"/>
              <w:jc w:val="left"/>
            </w:pPr>
            <w:r>
              <w:rPr>
                <w:sz w:val="18"/>
              </w:rPr>
              <w:t xml:space="preserve">Remote (Bank Server)</w:t>
            </w:r>
          </w:p>
        </w:tc>
        <w:tc>
          <w:tcPr/>
          <w:p>
            <w:pPr>
              <w:pStyle w:val="Compact"/>
              <w:spacing w:before="40" w:after="40"/>
              <w:jc w:val="left"/>
            </w:pPr>
            <w:r>
              <w:rPr>
                <w:sz w:val="18"/>
              </w:rPr>
              <w:t xml:space="preserve">Privacy vs. Performance trade-off</w:t>
            </w:r>
          </w:p>
        </w:tc>
      </w:tr>
      <w:tr>
        <w:tc>
          <w:tcPr>
            <w:noWrap/>
          </w:tcPr>
          <w:p>
            <w:pPr>
              <w:pStyle w:val="Compact"/>
              <w:spacing w:before="40" w:after="40"/>
              <w:jc w:val="left"/>
            </w:pPr>
            <w:r>
              <w:rPr>
                <w:b/>
                <w:sz w:val="18"/>
              </w:rPr>
              <w:t xml:space="preserve">Latency</w:t>
            </w:r>
          </w:p>
        </w:tc>
        <w:tc>
          <w:tcPr/>
          <w:p>
            <w:pPr>
              <w:pStyle w:val="Compact"/>
              <w:spacing w:before="40" w:after="40"/>
              <w:jc w:val="left"/>
            </w:pPr>
            <w:r>
              <w:rPr>
                <w:sz w:val="18"/>
              </w:rPr>
              <w:t xml:space="preserve">Low (Immediate feedback)</w:t>
            </w:r>
          </w:p>
        </w:tc>
        <w:tc>
          <w:tcPr/>
          <w:p>
            <w:pPr>
              <w:pStyle w:val="Compact"/>
              <w:spacing w:before="40" w:after="40"/>
              <w:jc w:val="left"/>
            </w:pPr>
            <w:r>
              <w:rPr>
                <w:sz w:val="18"/>
              </w:rPr>
              <w:t xml:space="preserve">Variable (Network dependent)</w:t>
            </w:r>
          </w:p>
        </w:tc>
        <w:tc>
          <w:tcPr/>
          <w:p>
            <w:pPr>
              <w:pStyle w:val="Compact"/>
              <w:spacing w:before="40" w:after="40"/>
              <w:jc w:val="left"/>
            </w:pPr>
            <w:r>
              <w:rPr>
                <w:sz w:val="18"/>
              </w:rPr>
              <w:t xml:space="preserve">UX friction during form filling</w:t>
            </w:r>
          </w:p>
        </w:tc>
      </w:tr>
      <w:tr>
        <w:tc>
          <w:tcPr>
            <w:noWrap/>
          </w:tcPr>
          <w:p>
            <w:pPr>
              <w:pStyle w:val="Compact"/>
              <w:spacing w:before="40" w:after="40"/>
              <w:jc w:val="left"/>
            </w:pPr>
            <w:r>
              <w:rPr>
                <w:b/>
                <w:sz w:val="18"/>
              </w:rPr>
              <w:t xml:space="preserve">Security Risk</w:t>
            </w:r>
          </w:p>
        </w:tc>
        <w:tc>
          <w:tcPr/>
          <w:p>
            <w:pPr>
              <w:pStyle w:val="Compact"/>
              <w:spacing w:before="40" w:after="40"/>
              <w:jc w:val="left"/>
            </w:pPr>
            <w:r>
              <w:rPr>
                <w:sz w:val="18"/>
              </w:rPr>
              <w:t xml:space="preserve">High (Code exposure)</w:t>
            </w:r>
          </w:p>
        </w:tc>
        <w:tc>
          <w:tcPr/>
          <w:p>
            <w:pPr>
              <w:pStyle w:val="Compact"/>
              <w:spacing w:before="40" w:after="40"/>
              <w:jc w:val="left"/>
            </w:pPr>
            <w:r>
              <w:rPr>
                <w:sz w:val="18"/>
              </w:rPr>
              <w:t xml:space="preserve">Low (Logic hidden)</w:t>
            </w:r>
          </w:p>
        </w:tc>
        <w:tc>
          <w:tcPr/>
          <w:p>
            <w:pPr>
              <w:pStyle w:val="Compact"/>
              <w:spacing w:before="40" w:after="40"/>
              <w:jc w:val="left"/>
            </w:pPr>
            <w:r>
              <w:rPr>
                <w:sz w:val="18"/>
              </w:rPr>
              <w:t xml:space="preserve">Critical for credit scoring logic</w:t>
            </w:r>
          </w:p>
        </w:tc>
      </w:tr>
      <w:tr>
        <w:tc>
          <w:tcPr>
            <w:noWrap/>
          </w:tcPr>
          <w:p>
            <w:pPr>
              <w:pStyle w:val="Compact"/>
              <w:spacing w:before="40" w:after="40"/>
              <w:jc w:val="left"/>
            </w:pPr>
            <w:r>
              <w:rPr>
                <w:b/>
                <w:sz w:val="18"/>
              </w:rPr>
              <w:t xml:space="preserve">Scalability</w:t>
            </w:r>
          </w:p>
        </w:tc>
        <w:tc>
          <w:tcPr/>
          <w:p>
            <w:pPr>
              <w:pStyle w:val="Compact"/>
              <w:spacing w:before="40" w:after="40"/>
              <w:jc w:val="left"/>
            </w:pPr>
            <w:r>
              <w:rPr>
                <w:sz w:val="18"/>
              </w:rPr>
              <w:t xml:space="preserve">High (Distributed load)</w:t>
            </w:r>
          </w:p>
        </w:tc>
        <w:tc>
          <w:tcPr/>
          <w:p>
            <w:pPr>
              <w:pStyle w:val="Compact"/>
              <w:spacing w:before="40" w:after="40"/>
              <w:jc w:val="left"/>
            </w:pPr>
            <w:r>
              <w:rPr>
                <w:sz w:val="18"/>
              </w:rPr>
              <w:t xml:space="preserve">Medium (Server load)</w:t>
            </w:r>
          </w:p>
        </w:tc>
        <w:tc>
          <w:tcPr/>
          <w:p>
            <w:pPr>
              <w:pStyle w:val="Compact"/>
              <w:spacing w:before="40" w:after="40"/>
              <w:jc w:val="left"/>
            </w:pPr>
            <w:r>
              <w:rPr>
                <w:sz w:val="18"/>
              </w:rPr>
              <w:t xml:space="preserve">Handling high application volume</w:t>
            </w:r>
          </w:p>
        </w:tc>
      </w:tr>
      <w:tr>
        <w:tc>
          <w:tcPr>
            <w:noWrap/>
          </w:tcPr>
          <w:p>
            <w:pPr>
              <w:pStyle w:val="Compact"/>
              <w:spacing w:before="40" w:after="40"/>
              <w:jc w:val="left"/>
            </w:pPr>
            <w:r>
              <w:rPr>
                <w:b/>
                <w:sz w:val="18"/>
              </w:rPr>
              <w:t xml:space="preserve">Compliance</w:t>
            </w:r>
          </w:p>
        </w:tc>
        <w:tc>
          <w:tcPr/>
          <w:p>
            <w:pPr>
              <w:pStyle w:val="Compact"/>
              <w:spacing w:before="40" w:after="40"/>
              <w:jc w:val="left"/>
            </w:pPr>
            <w:r>
              <w:rPr>
                <w:sz w:val="18"/>
              </w:rPr>
              <w:t xml:space="preserve">Complex (Data on device)</w:t>
            </w:r>
          </w:p>
        </w:tc>
        <w:tc>
          <w:tcPr/>
          <w:p>
            <w:pPr>
              <w:pStyle w:val="Compact"/>
              <w:spacing w:before="40" w:after="40"/>
              <w:jc w:val="left"/>
            </w:pPr>
            <w:r>
              <w:rPr>
                <w:sz w:val="18"/>
              </w:rPr>
              <w:t xml:space="preserve">Centralized (Easier control)</w:t>
            </w:r>
          </w:p>
        </w:tc>
        <w:tc>
          <w:tcPr/>
          <w:p>
            <w:pPr>
              <w:pStyle w:val="Compact"/>
              <w:spacing w:before="40" w:after="40"/>
              <w:jc w:val="left"/>
            </w:pPr>
            <w:r>
              <w:rPr>
                <w:sz w:val="18"/>
              </w:rPr>
              <w:t xml:space="preserve">GDPR/CCPA adherence</w:t>
            </w:r>
          </w:p>
        </w:tc>
      </w:tr>
    </w:tbl>
    <w:p>
      <w:pPr>
        <w:pStyle w:val="BodyText"/>
      </w:pPr>
      <w:r>
        <w:rPr>
          <w:i/>
        </w:rPr>
        <w:t xml:space="preserve">Table 1: Comparison of Personalization Architectures. Adapted from Asif &amp; Krogstie (Asif &amp; Krogstie, 2013) and Litvinavicius (Litvinavicius, 2019).</w:t>
      </w:r>
    </w:p>
    <w:p>
      <w:pPr>
        <w:pStyle w:val="Heading3"/>
      </w:pPr>
      <w:bookmarkStart w:id="43" w:name="cognitive-effects-and-user-perception"/>
      <w:r>
        <w:t xml:space="preserve">2.1.2.3 Cognitive Effects and User Perception</w:t>
      </w:r>
      <w:bookmarkEnd w:id="43"/>
    </w:p>
    <w:p>
      <w:pPr>
        <w:pStyle w:val="FirstParagraph"/>
      </w:pPr>
      <w:r>
        <w:t xml:space="preserve">The psychological impact of personalization is profound. Pavlidou et al. (Pavlidou et al., 2021) investigate user perception of algorithmic marketing under conditions of scarcity. Their findings suggest that when users perceive resources (such as credit availability) to be scarce, their reliance on and scrutiny of algorithmic recommendations increase. This is relevant to credit card applications, where</w:t>
      </w:r>
      <w:r>
        <w:t xml:space="preserve"> </w:t>
      </w:r>
      <w:r>
        <w:t xml:space="preserve">“</w:t>
      </w:r>
      <w:r>
        <w:t xml:space="preserve">approval</w:t>
      </w:r>
      <w:r>
        <w:t xml:space="preserve">”</w:t>
      </w:r>
      <w:r>
        <w:t xml:space="preserve"> </w:t>
      </w:r>
      <w:r>
        <w:t xml:space="preserve">is a scarce resource.</w:t>
      </w:r>
    </w:p>
    <w:p>
      <w:pPr>
        <w:pStyle w:val="BodyText"/>
      </w:pPr>
      <w:r>
        <w:t xml:space="preserve">Furthermore, the medium of interaction influences decision-making. Goldstein and Hajaj (Goldstein &amp; Hajaj, 2022) identify a</w:t>
      </w:r>
      <w:r>
        <w:t xml:space="preserve"> </w:t>
      </w:r>
      <w:r>
        <w:t xml:space="preserve">“</w:t>
      </w:r>
      <w:r>
        <w:t xml:space="preserve">hidden conversion funnel</w:t>
      </w:r>
      <w:r>
        <w:t xml:space="preserve">”</w:t>
      </w:r>
      <w:r>
        <w:t xml:space="preserve"> </w:t>
      </w:r>
      <w:r>
        <w:t xml:space="preserve">difference between mobile and desktop consumers. Mobile users often exhibit different attention spans and cognitive loads compared to desktop users. Dumont (Dumont, 2015) explicitly analyzes the impact of screen size on stated choice behavior for credit card applications, finding that the constraints of smaller screens can alter the attributes users prioritize, potentially making them more susceptible to simplified, personalized summaries over detailed terms and conditions.</w:t>
      </w:r>
    </w:p>
    <w:p>
      <w:pPr>
        <w:pStyle w:val="Heading2"/>
      </w:pPr>
      <w:bookmarkStart w:id="44" w:name="X55ef5c7f11f330455d59e9de4f33a3a34ebd73f"/>
      <w:r>
        <w:t xml:space="preserve">2.1.3 Algorithmic Credit Assessment and Risk Management</w:t>
      </w:r>
      <w:bookmarkEnd w:id="44"/>
    </w:p>
    <w:p>
      <w:pPr>
        <w:pStyle w:val="FirstParagraph"/>
      </w:pPr>
      <w:r>
        <w:t xml:space="preserve">The core of a credit card application is the decision engine. The transition from rule-based systems to advanced machine learning (ML) has revolutionized this domain.</w:t>
      </w:r>
    </w:p>
    <w:p>
      <w:pPr>
        <w:pStyle w:val="Heading3"/>
      </w:pPr>
      <w:bookmarkStart w:id="45" w:name="machine-learning-in-credit-scoring"/>
      <w:r>
        <w:t xml:space="preserve">2.1.3.1 Machine Learning in Credit Scoring</w:t>
      </w:r>
      <w:bookmarkEnd w:id="45"/>
    </w:p>
    <w:p>
      <w:pPr>
        <w:pStyle w:val="FirstParagraph"/>
      </w:pPr>
      <w:r>
        <w:t xml:space="preserve">Traditional credit scoring relied heavily on linear models, such as logistic regression, which offer high interpretability but limited capacity to capture non-linear relationships. Sam et al. (Sam et al., 2025) present a comparative study showing that automated ML models significantly outperform traditional approaches in identifying credit card fraud and, by extension, credit risk.</w:t>
      </w:r>
    </w:p>
    <w:p>
      <w:pPr>
        <w:pStyle w:val="BodyText"/>
      </w:pPr>
      <w:r>
        <w:t xml:space="preserve">The mathematical foundation of these improvements often lies in the objective functions used by ensemble methods. For instance, gradient boosting frameworks (like XGBoost) minimize a regularized objective function:</w:t>
      </w:r>
    </w:p>
    <w:p>
      <w:pPr>
        <w:pStyle w:val="BodyText"/>
      </w:pPr>
      <m:oMathPara>
        <m:oMathParaPr>
          <m:jc m:val="center"/>
        </m:oMathParaPr>
        <m:oMath>
          <m:r>
            <m:rPr>
              <m:sty m:val="p"/>
              <m:scr m:val="script"/>
            </m:rPr>
            <m:t>L</m:t>
          </m:r>
          <m:r>
            <m:t>(</m:t>
          </m:r>
          <m:r>
            <m:t>ϕ</m:t>
          </m:r>
          <m:r>
            <m:t>)</m:t>
          </m:r>
          <m:r>
            <m:t>=</m:t>
          </m:r>
          <m:nary>
            <m:naryPr>
              <m:chr m:val="∑"/>
              <m:limLoc m:val="undOvr"/>
              <m:subHide m:val="0"/>
              <m:supHide m:val="1"/>
            </m:naryPr>
            <m:sub>
              <m:r>
                <m:t>i</m:t>
              </m:r>
            </m:sub>
            <m:sup>
              <m:r>
                <m:t>​</m:t>
              </m:r>
            </m:sup>
            <m:e>
              <m:r>
                <m:t>l</m:t>
              </m:r>
            </m:e>
          </m:nary>
          <m:r>
            <m:t>(</m:t>
          </m:r>
          <m:sSub>
            <m:e>
              <m:acc>
                <m:accPr>
                  <m:chr m:val="̂"/>
                </m:accPr>
                <m:e>
                  <m:r>
                    <m:t>y</m:t>
                  </m:r>
                </m:e>
              </m:acc>
            </m:e>
            <m:sub>
              <m:r>
                <m:t>i</m:t>
              </m:r>
            </m:sub>
          </m:sSub>
          <m:r>
            <m:t>,</m:t>
          </m:r>
          <m:sSub>
            <m:e>
              <m:r>
                <m:t>y</m:t>
              </m:r>
            </m:e>
            <m:sub>
              <m:r>
                <m:t>i</m:t>
              </m:r>
            </m:sub>
          </m:sSub>
          <m:r>
            <m:t>)</m:t>
          </m:r>
          <m:r>
            <m:t>+</m:t>
          </m:r>
          <m:nary>
            <m:naryPr>
              <m:chr m:val="∑"/>
              <m:limLoc m:val="undOvr"/>
              <m:subHide m:val="0"/>
              <m:supHide m:val="1"/>
            </m:naryPr>
            <m:sub>
              <m:r>
                <m:t>k</m:t>
              </m:r>
            </m:sub>
            <m:sup>
              <m:r>
                <m:t>​</m:t>
              </m:r>
            </m:sup>
            <m:e>
              <m:r>
                <m:t>Ω</m:t>
              </m:r>
            </m:e>
          </m:nary>
          <m:r>
            <m:t>(</m:t>
          </m:r>
          <m:sSub>
            <m:e>
              <m:r>
                <m:t>f</m:t>
              </m:r>
            </m:e>
            <m:sub>
              <m:r>
                <m:t>k</m:t>
              </m:r>
            </m:sub>
          </m:sSub>
          <m:r>
            <m:t>)</m:t>
          </m:r>
        </m:oMath>
      </m:oMathPara>
    </w:p>
    <w:p>
      <w:pPr>
        <w:pStyle w:val="FirstParagraph"/>
      </w:pPr>
      <w:r>
        <w:t xml:space="preserve">where</w:t>
      </w:r>
      <w:r>
        <w:t xml:space="preserve"> </w:t>
      </w:r>
      <m:oMath>
        <m:r>
          <m:t>l</m:t>
        </m:r>
      </m:oMath>
      <w:r>
        <w:t xml:space="preserve"> </w:t>
      </w:r>
      <w:r>
        <w:t xml:space="preserve">is a differentiable convex loss function measuring the difference between the prediction</w:t>
      </w:r>
      <w:r>
        <w:t xml:space="preserve"> </w:t>
      </w:r>
      <m:oMath>
        <m:sSub>
          <m:e>
            <m:acc>
              <m:accPr>
                <m:chr m:val="̂"/>
              </m:accPr>
              <m:e>
                <m:r>
                  <m:t>y</m:t>
                </m:r>
              </m:e>
            </m:acc>
          </m:e>
          <m:sub>
            <m:r>
              <m:t>i</m:t>
            </m:r>
          </m:sub>
        </m:sSub>
      </m:oMath>
      <w:r>
        <w:t xml:space="preserve"> </w:t>
      </w:r>
      <w:r>
        <w:t xml:space="preserve">and the target</w:t>
      </w:r>
      <w:r>
        <w:t xml:space="preserve"> </w:t>
      </w:r>
      <m:oMath>
        <m:sSub>
          <m:e>
            <m:r>
              <m:t>y</m:t>
            </m:r>
          </m:e>
          <m:sub>
            <m:r>
              <m:t>i</m:t>
            </m:r>
          </m:sub>
        </m:sSub>
      </m:oMath>
      <w:r>
        <w:t xml:space="preserve">, and</w:t>
      </w:r>
      <w:r>
        <w:t xml:space="preserve"> </w:t>
      </w:r>
      <m:oMath>
        <m:r>
          <m:t>Ω</m:t>
        </m:r>
      </m:oMath>
      <w:r>
        <w:t xml:space="preserve"> </w:t>
      </w:r>
      <w:r>
        <w:t xml:space="preserve">penalizes the complexity of the model functions</w:t>
      </w:r>
      <w:r>
        <w:t xml:space="preserve"> </w:t>
      </w:r>
      <m:oMath>
        <m:sSub>
          <m:e>
            <m:r>
              <m:t>f</m:t>
            </m:r>
          </m:e>
          <m:sub>
            <m:r>
              <m:t>k</m:t>
            </m:r>
          </m:sub>
        </m:sSub>
      </m:oMath>
      <w:r>
        <w:t xml:space="preserve"> </w:t>
      </w:r>
      <w:r>
        <w:t xml:space="preserve">to prevent overfitting.</w:t>
      </w:r>
    </w:p>
    <w:p>
      <w:pPr>
        <w:pStyle w:val="BodyText"/>
      </w:pPr>
      <w:r>
        <w:t xml:space="preserve">Flores et al. (Flores et al., 2022) demonstrate the efficacy of Relief-Based Feature Selection in improving classification accuracy for credit card approval. By systematically evaluating the quality of attributes, financial institutions can reduce the dimensionality of their data while maintaining predictive power, a important step for real-time web-based applications.</w:t>
      </w:r>
    </w:p>
    <w:p>
      <w:pPr>
        <w:pStyle w:val="Heading3"/>
      </w:pPr>
      <w:bookmarkStart w:id="46" w:name="Xa268e4e27a25bd92ae9a4e7e64f6876374ed7a8"/>
      <w:r>
        <w:t xml:space="preserve">2.1.3.2 Advanced Frameworks: LLMs and Multi-Agent Systems</w:t>
      </w:r>
      <w:bookmarkEnd w:id="46"/>
    </w:p>
    <w:p>
      <w:pPr>
        <w:pStyle w:val="FirstParagraph"/>
      </w:pPr>
      <w:r>
        <w:t xml:space="preserve">The frontier of credit assessment is moving toward Large Language Models (LLMs) and multi-agent systems. Pathi (Pathi, 2025) proposes a novel framework integrating interpretable ML with LLMs. This approach uses SHAP (SHapley Additive exPlanations) values to explain the output of</w:t>
      </w:r>
      <w:r>
        <w:t xml:space="preserve"> </w:t>
      </w:r>
      <w:r>
        <w:t xml:space="preserve">“</w:t>
      </w:r>
      <w:r>
        <w:t xml:space="preserve">black box</w:t>
      </w:r>
      <w:r>
        <w:t xml:space="preserve">”</w:t>
      </w:r>
      <w:r>
        <w:t xml:space="preserve"> </w:t>
      </w:r>
      <w:r>
        <w:t xml:space="preserve">models like XGBoost, and then uses an LLM to generate natural language explanations for the credit decision.</w:t>
      </w:r>
    </w:p>
    <w:p>
      <w:pPr>
        <w:pStyle w:val="BodyText"/>
      </w:pPr>
      <w:r>
        <w:t xml:space="preserve">The SHAP value for a feature</w:t>
      </w:r>
      <w:r>
        <w:t xml:space="preserve"> </w:t>
      </w:r>
      <m:oMath>
        <m:r>
          <m:t>j</m:t>
        </m:r>
      </m:oMath>
      <w:r>
        <w:t xml:space="preserve"> </w:t>
      </w:r>
      <w:r>
        <w:t xml:space="preserve">is defined as:</w:t>
      </w:r>
    </w:p>
    <w:p>
      <w:pPr>
        <w:pStyle w:val="BodyText"/>
      </w:pPr>
      <m:oMathPara>
        <m:oMathParaPr>
          <m:jc m:val="center"/>
        </m:oMathParaPr>
        <m:oMath>
          <m:sSub>
            <m:e>
              <m:r>
                <m:t>ϕ</m:t>
              </m:r>
            </m:e>
            <m:sub>
              <m:r>
                <m:t>j</m:t>
              </m:r>
            </m:sub>
          </m:sSub>
          <m:r>
            <m:t>=</m:t>
          </m:r>
          <m:nary>
            <m:naryPr>
              <m:chr m:val="∑"/>
              <m:limLoc m:val="undOvr"/>
              <m:subHide m:val="0"/>
              <m:supHide m:val="1"/>
            </m:naryPr>
            <m:sub>
              <m:r>
                <m:t>S</m:t>
              </m:r>
              <m:r>
                <m:t>⊆</m:t>
              </m:r>
              <m:r>
                <m:t>F</m:t>
              </m:r>
              <m:r>
                <m:t>\</m:t>
              </m:r>
              <m:r>
                <m:t>{</m:t>
              </m:r>
              <m:r>
                <m:t>j</m:t>
              </m:r>
              <m:r>
                <m:t>}</m:t>
              </m:r>
            </m:sub>
            <m:sup>
              <m:r>
                <m:t>​</m:t>
              </m:r>
            </m:sup>
            <m:e>
              <m:f>
                <m:fPr>
                  <m:type m:val="bar"/>
                </m:fPr>
                <m:num>
                  <m:r>
                    <m:t>|</m:t>
                  </m:r>
                  <m:r>
                    <m:t>S</m:t>
                  </m:r>
                  <m:r>
                    <m:t>|</m:t>
                  </m:r>
                  <m:r>
                    <m:t>!</m:t>
                  </m:r>
                  <m:r>
                    <m:t>(</m:t>
                  </m:r>
                  <m:r>
                    <m:t>|</m:t>
                  </m:r>
                  <m:r>
                    <m:t>F</m:t>
                  </m:r>
                  <m:r>
                    <m:t>|</m:t>
                  </m:r>
                  <m:r>
                    <m:t>−</m:t>
                  </m:r>
                  <m:r>
                    <m:t>|</m:t>
                  </m:r>
                  <m:r>
                    <m:t>S</m:t>
                  </m:r>
                  <m:r>
                    <m:t>|</m:t>
                  </m:r>
                  <m:r>
                    <m:t>−</m:t>
                  </m:r>
                  <m:r>
                    <m:t>1</m:t>
                  </m:r>
                  <m:r>
                    <m:t>)</m:t>
                  </m:r>
                  <m:r>
                    <m:t>!</m:t>
                  </m:r>
                </m:num>
                <m:den>
                  <m:r>
                    <m:t>|</m:t>
                  </m:r>
                  <m:r>
                    <m:t>F</m:t>
                  </m:r>
                  <m:r>
                    <m:t>|</m:t>
                  </m:r>
                  <m:r>
                    <m:t>!</m:t>
                  </m:r>
                </m:den>
              </m:f>
            </m:e>
          </m:nary>
          <m:r>
            <m:t>[</m:t>
          </m:r>
          <m:sSub>
            <m:e>
              <m:r>
                <m:t>f</m:t>
              </m:r>
            </m:e>
            <m:sub>
              <m:r>
                <m:t>S</m:t>
              </m:r>
              <m:r>
                <m:t>∪</m:t>
              </m:r>
              <m:r>
                <m:t>{</m:t>
              </m:r>
              <m:r>
                <m:t>j</m:t>
              </m:r>
              <m:r>
                <m:t>}</m:t>
              </m:r>
            </m:sub>
          </m:sSub>
          <m:r>
            <m:t>(</m:t>
          </m:r>
          <m:sSub>
            <m:e>
              <m:r>
                <m:t>x</m:t>
              </m:r>
            </m:e>
            <m:sub>
              <m:r>
                <m:t>S</m:t>
              </m:r>
              <m:r>
                <m:t>∪</m:t>
              </m:r>
              <m:r>
                <m:t>{</m:t>
              </m:r>
              <m:r>
                <m:t>j</m:t>
              </m:r>
              <m:r>
                <m:t>}</m:t>
              </m:r>
            </m:sub>
          </m:sSub>
          <m:r>
            <m:t>)</m:t>
          </m:r>
          <m:r>
            <m:t>−</m:t>
          </m:r>
          <m:sSub>
            <m:e>
              <m:r>
                <m:t>f</m:t>
              </m:r>
            </m:e>
            <m:sub>
              <m:r>
                <m:t>S</m:t>
              </m:r>
            </m:sub>
          </m:sSub>
          <m:r>
            <m:t>(</m:t>
          </m:r>
          <m:sSub>
            <m:e>
              <m:r>
                <m:t>x</m:t>
              </m:r>
            </m:e>
            <m:sub>
              <m:r>
                <m:t>S</m:t>
              </m:r>
            </m:sub>
          </m:sSub>
          <m:r>
            <m:t>)</m:t>
          </m:r>
          <m:r>
            <m:t>]</m:t>
          </m:r>
        </m:oMath>
      </m:oMathPara>
    </w:p>
    <w:p>
      <w:pPr>
        <w:pStyle w:val="FirstParagraph"/>
      </w:pPr>
      <w:r>
        <w:t xml:space="preserve">This integration addresses a critical gap in AI adoption: the need for explainability. In a credit application context, simply telling a user</w:t>
      </w:r>
      <w:r>
        <w:t xml:space="preserve"> </w:t>
      </w:r>
      <w:r>
        <w:t xml:space="preserve">“</w:t>
      </w:r>
      <w:r>
        <w:t xml:space="preserve">Declined</w:t>
      </w:r>
      <w:r>
        <w:t xml:space="preserve">”</w:t>
      </w:r>
      <w:r>
        <w:t xml:space="preserve"> </w:t>
      </w:r>
      <w:r>
        <w:t xml:space="preserve">is a poor experience; providing a personalized explanation derived from SHAP values (</w:t>
      </w:r>
      <w:r>
        <w:t xml:space="preserve">“</w:t>
      </w:r>
      <w:r>
        <w:t xml:space="preserve">Declined because debt-to-income ratio is too high relative to credit history</w:t>
      </w:r>
      <w:r>
        <w:t xml:space="preserve">”</w:t>
      </w:r>
      <w:r>
        <w:t xml:space="preserve">) enhances transparency and trust.</w:t>
      </w:r>
    </w:p>
    <w:p>
      <w:pPr>
        <w:pStyle w:val="Heading3"/>
      </w:pPr>
      <w:bookmarkStart w:id="47" w:name="ethics-bias-and-data-quality"/>
      <w:r>
        <w:t xml:space="preserve">2.1.3.3 Ethics, Bias, and Data Quality</w:t>
      </w:r>
      <w:bookmarkEnd w:id="47"/>
    </w:p>
    <w:p>
      <w:pPr>
        <w:pStyle w:val="FirstParagraph"/>
      </w:pPr>
      <w:r>
        <w:t xml:space="preserve">The adoption of these algorithms is not without peril. Sriram (Sriram, 2025) highlights the challenges of data quality, bias, and ethics in algorithmic credit decisions. If the training data reflects historical prejudices (e.g., redlining), the resulting models will perpetuate these biases under the guise of mathematical objectivity. The</w:t>
      </w:r>
      <w:r>
        <w:t xml:space="preserve"> </w:t>
      </w:r>
      <w:r>
        <w:t xml:space="preserve">“</w:t>
      </w:r>
      <w:r>
        <w:t xml:space="preserve">democratization</w:t>
      </w:r>
      <w:r>
        <w:t xml:space="preserve">”</w:t>
      </w:r>
      <w:r>
        <w:t xml:space="preserve"> </w:t>
      </w:r>
      <w:r>
        <w:t xml:space="preserve">of credit promised by AI can only be achieved if these ethical considerations are embedded in the model design phase.</w:t>
      </w:r>
    </w:p>
    <w:p>
      <w:pPr>
        <w:pStyle w:val="BodyText"/>
      </w:pPr>
      <w:r>
        <w:t xml:space="preserve">Table 2 synthesizes the evolution of credit assessment technologies.</w:t>
      </w:r>
    </w:p>
    <w:tbl>
      <w:tblPr>
        <w:tblStyle w:val="Table"/>
        <w:tblW w:type="pct" w:w="5000"/>
        <w:tblLook w:firstRow="1"/>
        <w:tblLayout w:type="autofit"/>
      </w:tblPr>
      <w:tblGrid>
        <w:gridCol w:w="582"/>
        <w:gridCol w:w="2329"/>
        <w:gridCol w:w="2096"/>
        <w:gridCol w:w="1397"/>
        <w:gridCol w:w="1514"/>
      </w:tblGrid>
      <w:tr>
        <w:trPr>
          <w:cnfStyle w:firstRow="1"/>
        </w:trPr>
        <w:tc>
          <w:tcPr>
            <w:tcBorders>
              <w:bottom w:val="single"/>
            </w:tcBorders>
            <w:vAlign w:val="bottom"/>
            <w:noWrap/>
          </w:tcPr>
          <w:p>
            <w:pPr>
              <w:pStyle w:val="Compact"/>
              <w:spacing w:before="40" w:after="40"/>
              <w:jc w:val="left"/>
            </w:pPr>
            <w:r>
              <w:rPr>
                <w:sz w:val="16"/>
              </w:rPr>
              <w:t xml:space="preserve">Era</w:t>
            </w:r>
          </w:p>
        </w:tc>
        <w:tc>
          <w:tcPr>
            <w:tcBorders>
              <w:bottom w:val="single"/>
            </w:tcBorders>
            <w:vAlign w:val="bottom"/>
          </w:tcPr>
          <w:p>
            <w:pPr>
              <w:pStyle w:val="Compact"/>
              <w:spacing w:before="40" w:after="40"/>
              <w:jc w:val="left"/>
            </w:pPr>
            <w:r>
              <w:rPr>
                <w:sz w:val="16"/>
              </w:rPr>
              <w:t xml:space="preserve">Primary Technology</w:t>
            </w:r>
          </w:p>
        </w:tc>
        <w:tc>
          <w:tcPr>
            <w:tcBorders>
              <w:bottom w:val="single"/>
            </w:tcBorders>
            <w:vAlign w:val="bottom"/>
          </w:tcPr>
          <w:p>
            <w:pPr>
              <w:pStyle w:val="Compact"/>
              <w:spacing w:before="40" w:after="40"/>
              <w:jc w:val="left"/>
            </w:pPr>
            <w:r>
              <w:rPr>
                <w:sz w:val="16"/>
              </w:rPr>
              <w:t xml:space="preserve">Key Data Sources</w:t>
            </w:r>
          </w:p>
        </w:tc>
        <w:tc>
          <w:tcPr>
            <w:tcBorders>
              <w:bottom w:val="single"/>
            </w:tcBorders>
            <w:vAlign w:val="bottom"/>
          </w:tcPr>
          <w:p>
            <w:pPr>
              <w:pStyle w:val="Compact"/>
              <w:spacing w:before="40" w:after="40"/>
              <w:jc w:val="left"/>
            </w:pPr>
            <w:r>
              <w:rPr>
                <w:sz w:val="16"/>
              </w:rPr>
              <w:t xml:space="preserve">Advantages</w:t>
            </w:r>
          </w:p>
        </w:tc>
        <w:tc>
          <w:tcPr>
            <w:tcBorders>
              <w:bottom w:val="single"/>
            </w:tcBorders>
            <w:vAlign w:val="bottom"/>
          </w:tcPr>
          <w:p>
            <w:pPr>
              <w:pStyle w:val="Compact"/>
              <w:spacing w:before="40" w:after="40"/>
              <w:jc w:val="left"/>
            </w:pPr>
            <w:r>
              <w:rPr>
                <w:sz w:val="16"/>
              </w:rPr>
              <w:t xml:space="preserve">Limitations</w:t>
            </w:r>
          </w:p>
        </w:tc>
      </w:tr>
      <w:tr>
        <w:tc>
          <w:tcPr>
            <w:noWrap/>
          </w:tcPr>
          <w:p>
            <w:pPr>
              <w:pStyle w:val="Compact"/>
              <w:spacing w:before="40" w:after="40"/>
              <w:jc w:val="left"/>
            </w:pPr>
            <w:r>
              <w:rPr>
                <w:b/>
                <w:sz w:val="16"/>
              </w:rPr>
              <w:t xml:space="preserve">Traditional</w:t>
            </w:r>
          </w:p>
        </w:tc>
        <w:tc>
          <w:tcPr/>
          <w:p>
            <w:pPr>
              <w:pStyle w:val="Compact"/>
              <w:spacing w:before="40" w:after="40"/>
              <w:jc w:val="left"/>
            </w:pPr>
            <w:r>
              <w:rPr>
                <w:sz w:val="16"/>
              </w:rPr>
              <w:t xml:space="preserve">Logistic Regression</w:t>
            </w:r>
          </w:p>
        </w:tc>
        <w:tc>
          <w:tcPr/>
          <w:p>
            <w:pPr>
              <w:pStyle w:val="Compact"/>
              <w:spacing w:before="40" w:after="40"/>
              <w:jc w:val="left"/>
            </w:pPr>
            <w:r>
              <w:rPr>
                <w:sz w:val="16"/>
              </w:rPr>
              <w:t xml:space="preserve">Credit Bureau Reports</w:t>
            </w:r>
          </w:p>
        </w:tc>
        <w:tc>
          <w:tcPr/>
          <w:p>
            <w:pPr>
              <w:pStyle w:val="Compact"/>
              <w:spacing w:before="40" w:after="40"/>
              <w:jc w:val="left"/>
            </w:pPr>
            <w:r>
              <w:rPr>
                <w:sz w:val="16"/>
              </w:rPr>
              <w:t xml:space="preserve">High Interpretability</w:t>
            </w:r>
          </w:p>
        </w:tc>
        <w:tc>
          <w:tcPr/>
          <w:p>
            <w:pPr>
              <w:pStyle w:val="Compact"/>
              <w:spacing w:before="40" w:after="40"/>
              <w:jc w:val="left"/>
            </w:pPr>
            <w:r>
              <w:rPr>
                <w:sz w:val="16"/>
              </w:rPr>
              <w:t xml:space="preserve">Misses non-linear patterns</w:t>
            </w:r>
          </w:p>
        </w:tc>
      </w:tr>
      <w:tr>
        <w:tc>
          <w:tcPr>
            <w:noWrap/>
          </w:tcPr>
          <w:p>
            <w:pPr>
              <w:pStyle w:val="Compact"/>
              <w:spacing w:before="40" w:after="40"/>
              <w:jc w:val="left"/>
            </w:pPr>
            <w:r>
              <w:rPr>
                <w:b/>
                <w:sz w:val="16"/>
              </w:rPr>
              <w:t xml:space="preserve">Modern ML</w:t>
            </w:r>
          </w:p>
        </w:tc>
        <w:tc>
          <w:tcPr/>
          <w:p>
            <w:pPr>
              <w:pStyle w:val="Compact"/>
              <w:spacing w:before="40" w:after="40"/>
              <w:jc w:val="left"/>
            </w:pPr>
            <w:r>
              <w:rPr>
                <w:sz w:val="16"/>
              </w:rPr>
              <w:t xml:space="preserve">Random Forest, XGBoost</w:t>
            </w:r>
          </w:p>
        </w:tc>
        <w:tc>
          <w:tcPr/>
          <w:p>
            <w:pPr>
              <w:pStyle w:val="Compact"/>
              <w:spacing w:before="40" w:after="40"/>
              <w:jc w:val="left"/>
            </w:pPr>
            <w:r>
              <w:rPr>
                <w:sz w:val="16"/>
              </w:rPr>
              <w:t xml:space="preserve">Bureau + Transaction Data</w:t>
            </w:r>
          </w:p>
        </w:tc>
        <w:tc>
          <w:tcPr/>
          <w:p>
            <w:pPr>
              <w:pStyle w:val="Compact"/>
              <w:spacing w:before="40" w:after="40"/>
              <w:jc w:val="left"/>
            </w:pPr>
            <w:r>
              <w:rPr>
                <w:sz w:val="16"/>
              </w:rPr>
              <w:t xml:space="preserve">High Accuracy</w:t>
            </w:r>
          </w:p>
        </w:tc>
        <w:tc>
          <w:tcPr/>
          <w:p>
            <w:pPr>
              <w:pStyle w:val="Compact"/>
              <w:spacing w:before="40" w:after="40"/>
              <w:jc w:val="left"/>
            </w:pPr>
            <w:r>
              <w:rPr>
                <w:sz w:val="16"/>
              </w:rPr>
              <w:t xml:space="preserve">“</w:t>
            </w:r>
            <w:r>
              <w:rPr>
                <w:sz w:val="16"/>
              </w:rPr>
              <w:t xml:space="preserve">Black Box</w:t>
            </w:r>
            <w:r>
              <w:rPr>
                <w:sz w:val="16"/>
              </w:rPr>
              <w:t xml:space="preserve">”</w:t>
            </w:r>
            <w:r>
              <w:rPr>
                <w:sz w:val="16"/>
              </w:rPr>
              <w:t xml:space="preserve"> </w:t>
            </w:r>
            <w:r>
              <w:rPr>
                <w:sz w:val="16"/>
              </w:rPr>
              <w:t xml:space="preserve">opacity</w:t>
            </w:r>
          </w:p>
        </w:tc>
      </w:tr>
      <w:tr>
        <w:tc>
          <w:tcPr>
            <w:noWrap/>
          </w:tcPr>
          <w:p>
            <w:pPr>
              <w:pStyle w:val="Compact"/>
              <w:spacing w:before="40" w:after="40"/>
              <w:jc w:val="left"/>
            </w:pPr>
            <w:r>
              <w:rPr>
                <w:b/>
                <w:sz w:val="16"/>
              </w:rPr>
              <w:t xml:space="preserve">Next-Gen</w:t>
            </w:r>
          </w:p>
        </w:tc>
        <w:tc>
          <w:tcPr/>
          <w:p>
            <w:pPr>
              <w:pStyle w:val="Compact"/>
              <w:spacing w:before="40" w:after="40"/>
              <w:jc w:val="left"/>
            </w:pPr>
            <w:r>
              <w:rPr>
                <w:sz w:val="16"/>
              </w:rPr>
              <w:t xml:space="preserve">Multi-Agent LLMs</w:t>
            </w:r>
          </w:p>
        </w:tc>
        <w:tc>
          <w:tcPr/>
          <w:p>
            <w:pPr>
              <w:pStyle w:val="Compact"/>
              <w:spacing w:before="40" w:after="40"/>
              <w:jc w:val="left"/>
            </w:pPr>
            <w:r>
              <w:rPr>
                <w:sz w:val="16"/>
              </w:rPr>
              <w:t xml:space="preserve">Alternative Data + Text</w:t>
            </w:r>
          </w:p>
        </w:tc>
        <w:tc>
          <w:tcPr/>
          <w:p>
            <w:pPr>
              <w:pStyle w:val="Compact"/>
              <w:spacing w:before="40" w:after="40"/>
              <w:jc w:val="left"/>
            </w:pPr>
            <w:r>
              <w:rPr>
                <w:sz w:val="16"/>
              </w:rPr>
              <w:t xml:space="preserve">Explainability + Accuracy</w:t>
            </w:r>
          </w:p>
        </w:tc>
        <w:tc>
          <w:tcPr/>
          <w:p>
            <w:pPr>
              <w:pStyle w:val="Compact"/>
              <w:spacing w:before="40" w:after="40"/>
              <w:jc w:val="left"/>
            </w:pPr>
            <w:r>
              <w:rPr>
                <w:sz w:val="16"/>
              </w:rPr>
              <w:t xml:space="preserve">High compute cost, Hallucination risk</w:t>
            </w:r>
          </w:p>
        </w:tc>
      </w:tr>
    </w:tbl>
    <w:p>
      <w:pPr>
        <w:pStyle w:val="BodyText"/>
      </w:pPr>
      <w:r>
        <w:rPr>
          <w:i/>
        </w:rPr>
        <w:t xml:space="preserve">Table 2: Evolution of Credit Assessment Technologies. Synthesized from Pathi (Pathi, 2025), Sam et al. (Sam et al., 2025), and Sriram (Sriram, 2025).</w:t>
      </w:r>
    </w:p>
    <w:p>
      <w:pPr>
        <w:pStyle w:val="Heading2"/>
      </w:pPr>
      <w:bookmarkStart w:id="48" w:name="Xd9bc69d5cfbd3968595f41b84b12352aaecae87"/>
      <w:r>
        <w:t xml:space="preserve">2.1.4 User Experience (UX) and Security Constraints</w:t>
      </w:r>
      <w:bookmarkEnd w:id="48"/>
    </w:p>
    <w:p>
      <w:pPr>
        <w:pStyle w:val="FirstParagraph"/>
      </w:pPr>
      <w:r>
        <w:t xml:space="preserve">The design of a web-based credit card application involves a delicate balance between minimizing user friction and ensuring strong security.</w:t>
      </w:r>
    </w:p>
    <w:p>
      <w:pPr>
        <w:pStyle w:val="Heading3"/>
      </w:pPr>
      <w:bookmarkStart w:id="49" w:name="the-friction-security-trade-off"/>
      <w:r>
        <w:t xml:space="preserve">2.1.4.1 The Friction-Security Trade-off</w:t>
      </w:r>
      <w:bookmarkEnd w:id="49"/>
    </w:p>
    <w:p>
      <w:pPr>
        <w:pStyle w:val="FirstParagraph"/>
      </w:pPr>
      <w:r>
        <w:t xml:space="preserve">Gada (Gada, 2024) emphasizes that effective UX strategies are essential for user retention in FinTech. A smooth, intuitive interface reduces abandonment rates. However, regulatory requirements often mandate friction. Sacaleanu and Tak (Sacaleanu &amp; Tak, 2020) discuss the impact of PSD2 (Revised Payment Services Directive) and Secure Customer Authentication (SCA). While intended to secure transactions, SCA requirements (such as two-factor authentication) introduce steps that can disrupt the user journey. The challenge for designers is to implement these security measures in a way that users perceive as</w:t>
      </w:r>
      <w:r>
        <w:t xml:space="preserve"> </w:t>
      </w:r>
      <w:r>
        <w:t xml:space="preserve">“</w:t>
      </w:r>
      <w:r>
        <w:t xml:space="preserve">reassuring</w:t>
      </w:r>
      <w:r>
        <w:t xml:space="preserve">”</w:t>
      </w:r>
      <w:r>
        <w:t xml:space="preserve"> </w:t>
      </w:r>
      <w:r>
        <w:t xml:space="preserve">rather than</w:t>
      </w:r>
      <w:r>
        <w:t xml:space="preserve"> </w:t>
      </w:r>
      <w:r>
        <w:t xml:space="preserve">“</w:t>
      </w:r>
      <w:r>
        <w:t xml:space="preserve">annoying.</w:t>
      </w:r>
      <w:r>
        <w:t xml:space="preserve">”</w:t>
      </w:r>
    </w:p>
    <w:p>
      <w:pPr>
        <w:pStyle w:val="Heading3"/>
      </w:pPr>
      <w:bookmarkStart w:id="50" w:name="Xb028582e7b13e72d7f1715ef4b2547247c74f21"/>
      <w:r>
        <w:t xml:space="preserve">2.1.4.2 Security Vulnerabilities in Web Applications</w:t>
      </w:r>
      <w:bookmarkEnd w:id="50"/>
    </w:p>
    <w:p>
      <w:pPr>
        <w:pStyle w:val="FirstParagraph"/>
      </w:pPr>
      <w:r>
        <w:t xml:space="preserve">The web application itself is a vector for attack. Markulin et al. (Markulin et al., 2025) investigate the use of ChatGPT in designing web applications resistant to SQL injection attacks. Their work suggests that while AI can aid in defense, it also lowers the barrier for attackers. Furthermore, Shakadwipi (Shakadwipi, 2023) discusses identity theft detection in application forms. The application interface must implicitly verify identity (e.g., through device fingerprinting or behavioral biometrics) without explicitly interrogating the user to the point of frustration.</w:t>
      </w:r>
    </w:p>
    <w:p>
      <w:pPr>
        <w:pStyle w:val="BodyText"/>
      </w:pPr>
      <w:r>
        <w:t xml:space="preserve">Emerging technologies like Blockchain are also being explored for Know Your Customer (KYC) processes. Osborne (Osborne, 2021) and Zentoni et al. (Zentoni et al., 2025) argue that distributed ledger technology can create a more secure and portable identity verification system, potentially reducing the repetitive data entry that plagues current application forms.</w:t>
      </w:r>
    </w:p>
    <w:p>
      <w:pPr>
        <w:pStyle w:val="Heading3"/>
      </w:pPr>
      <w:bookmarkStart w:id="51" w:name="analyzing-user-sentiment"/>
      <w:r>
        <w:t xml:space="preserve">2.1.4.3 Analyzing User Sentiment</w:t>
      </w:r>
      <w:bookmarkEnd w:id="51"/>
    </w:p>
    <w:p>
      <w:pPr>
        <w:pStyle w:val="FirstParagraph"/>
      </w:pPr>
      <w:r>
        <w:t xml:space="preserve">To understand how users perceive these interfaces, researchers are increasingly turning to unstructured data. Meyer and Okuboyejo (Meyer &amp; Okuboyejo, 2019) utilized sentiment analysis on app reviews to understand user needs in health apps, a methodology transferable to FinTech. Othman (Othman, 2025) applied Topic Modeling (using Latent Dirichlet Allocation - LDA) to user reviews of the</w:t>
      </w:r>
      <w:r>
        <w:t xml:space="preserve"> </w:t>
      </w:r>
      <w:r>
        <w:t xml:space="preserve">“</w:t>
      </w:r>
      <w:r>
        <w:t xml:space="preserve">Easycash</w:t>
      </w:r>
      <w:r>
        <w:t xml:space="preserve">”</w:t>
      </w:r>
      <w:r>
        <w:t xml:space="preserve"> </w:t>
      </w:r>
      <w:r>
        <w:t xml:space="preserve">lending platform. This approach allows researchers to uncover latent themes in user dissatisfaction–such as hidden fees, interface bugs, or aggressive collection tactics–that quantitative metrics might miss.</w:t>
      </w:r>
    </w:p>
    <w:p>
      <w:pPr>
        <w:pStyle w:val="Heading2"/>
      </w:pPr>
      <w:bookmarkStart w:id="52" w:name="X637b13250d0fe57d5d55ebd90bddbc4cf64e8f5"/>
      <w:r>
        <w:t xml:space="preserve">2.1.5 Methodological Approaches in FinTech Research</w:t>
      </w:r>
      <w:bookmarkEnd w:id="52"/>
    </w:p>
    <w:p>
      <w:pPr>
        <w:pStyle w:val="FirstParagraph"/>
      </w:pPr>
      <w:r>
        <w:t xml:space="preserve">Evaluating the impact of personalization requires rigorous experimental design.</w:t>
      </w:r>
    </w:p>
    <w:p>
      <w:pPr>
        <w:pStyle w:val="Heading3"/>
      </w:pPr>
      <w:bookmarkStart w:id="53" w:name="X1dcc9db7cd67d2c2c8031b72c24de13d2803577"/>
      <w:r>
        <w:t xml:space="preserve">2.1.5.1 Trustworthy Online Controlled Experiments</w:t>
      </w:r>
      <w:bookmarkEnd w:id="53"/>
    </w:p>
    <w:p>
      <w:pPr>
        <w:pStyle w:val="FirstParagraph"/>
      </w:pPr>
      <w:r>
        <w:t xml:space="preserve">Kohavi and Tang (Kohavi &amp; Tang, 2020) provide the definitive framework for</w:t>
      </w:r>
      <w:r>
        <w:t xml:space="preserve"> </w:t>
      </w:r>
      <w:r>
        <w:t xml:space="preserve">“</w:t>
      </w:r>
      <w:r>
        <w:t xml:space="preserve">Trustworthy Online Controlled Experiments</w:t>
      </w:r>
      <w:r>
        <w:t xml:space="preserve">”</w:t>
      </w:r>
      <w:r>
        <w:t xml:space="preserve"> </w:t>
      </w:r>
      <w:r>
        <w:t xml:space="preserve">(A/B testing). They argue that observational data is often misleading due to confounding variables. To determine whether a specific personalization feature</w:t>
      </w:r>
      <w:r>
        <w:t xml:space="preserve"> </w:t>
      </w:r>
      <w:r>
        <w:rPr>
          <w:i/>
        </w:rPr>
        <w:t xml:space="preserve">causes</w:t>
      </w:r>
      <w:r>
        <w:t xml:space="preserve"> </w:t>
      </w:r>
      <w:r>
        <w:t xml:space="preserve">an increase in credit card applications, a randomized controlled trial is necessary.</w:t>
      </w:r>
    </w:p>
    <w:p>
      <w:pPr>
        <w:pStyle w:val="BodyText"/>
      </w:pPr>
      <w:r>
        <w:t xml:space="preserve">The standard metric for comparing two variants (A and B) is the difference in means, evaluated using a t-test. The t-statistic is calculated as:</w:t>
      </w:r>
    </w:p>
    <w:p>
      <w:pPr>
        <w:pStyle w:val="BodyText"/>
      </w:pPr>
      <m:oMathPara>
        <m:oMathParaPr>
          <m:jc m:val="center"/>
        </m:oMathParaPr>
        <m:oMath>
          <m:r>
            <m:t>t</m:t>
          </m:r>
          <m:r>
            <m:t>=</m:t>
          </m:r>
          <m:f>
            <m:fPr>
              <m:type m:val="bar"/>
            </m:fPr>
            <m:num>
              <m:sSub>
                <m:e>
                  <m:acc>
                    <m:accPr>
                      <m:chr m:val="‾"/>
                    </m:accPr>
                    <m:e>
                      <m:r>
                        <m:t>X</m:t>
                      </m:r>
                    </m:e>
                  </m:acc>
                </m:e>
                <m:sub>
                  <m:r>
                    <m:t>B</m:t>
                  </m:r>
                </m:sub>
              </m:sSub>
              <m:r>
                <m:t>−</m:t>
              </m:r>
              <m:sSub>
                <m:e>
                  <m:acc>
                    <m:accPr>
                      <m:chr m:val="‾"/>
                    </m:accPr>
                    <m:e>
                      <m:r>
                        <m:t>X</m:t>
                      </m:r>
                    </m:e>
                  </m:acc>
                </m:e>
                <m:sub>
                  <m:r>
                    <m:t>A</m:t>
                  </m:r>
                </m:sub>
              </m:sSub>
            </m:num>
            <m:den>
              <m:rad>
                <m:radPr>
                  <m:degHide m:val="1"/>
                </m:radPr>
                <m:deg/>
                <m:e>
                  <m:f>
                    <m:fPr>
                      <m:type m:val="bar"/>
                    </m:fPr>
                    <m:num>
                      <m:sSubSup>
                        <m:e>
                          <m:r>
                            <m:t>s</m:t>
                          </m:r>
                        </m:e>
                        <m:sub>
                          <m:r>
                            <m:t>A</m:t>
                          </m:r>
                        </m:sub>
                        <m:sup>
                          <m:r>
                            <m:t>2</m:t>
                          </m:r>
                        </m:sup>
                      </m:sSubSup>
                    </m:num>
                    <m:den>
                      <m:sSub>
                        <m:e>
                          <m:r>
                            <m:t>n</m:t>
                          </m:r>
                        </m:e>
                        <m:sub>
                          <m:r>
                            <m:t>A</m:t>
                          </m:r>
                        </m:sub>
                      </m:sSub>
                    </m:den>
                  </m:f>
                  <m:r>
                    <m:t>+</m:t>
                  </m:r>
                  <m:f>
                    <m:fPr>
                      <m:type m:val="bar"/>
                    </m:fPr>
                    <m:num>
                      <m:sSubSup>
                        <m:e>
                          <m:r>
                            <m:t>s</m:t>
                          </m:r>
                        </m:e>
                        <m:sub>
                          <m:r>
                            <m:t>B</m:t>
                          </m:r>
                        </m:sub>
                        <m:sup>
                          <m:r>
                            <m:t>2</m:t>
                          </m:r>
                        </m:sup>
                      </m:sSubSup>
                    </m:num>
                    <m:den>
                      <m:sSub>
                        <m:e>
                          <m:r>
                            <m:t>n</m:t>
                          </m:r>
                        </m:e>
                        <m:sub>
                          <m:r>
                            <m:t>B</m:t>
                          </m:r>
                        </m:sub>
                      </m:sSub>
                    </m:den>
                  </m:f>
                </m:e>
              </m:rad>
            </m:den>
          </m:f>
        </m:oMath>
      </m:oMathPara>
    </w:p>
    <w:p>
      <w:pPr>
        <w:pStyle w:val="FirstParagraph"/>
      </w:pPr>
      <w:r>
        <w:t xml:space="preserve">where</w:t>
      </w:r>
      <w:r>
        <w:t xml:space="preserve"> </w:t>
      </w:r>
      <m:oMath>
        <m:acc>
          <m:accPr>
            <m:chr m:val="‾"/>
          </m:accPr>
          <m:e>
            <m:r>
              <m:t>X</m:t>
            </m:r>
          </m:e>
        </m:acc>
      </m:oMath>
      <w:r>
        <w:t xml:space="preserve"> </w:t>
      </w:r>
      <w:r>
        <w:t xml:space="preserve">is the sample mean,</w:t>
      </w:r>
      <w:r>
        <w:t xml:space="preserve"> </w:t>
      </w:r>
      <m:oMath>
        <m:sSup>
          <m:e>
            <m:r>
              <m:t>s</m:t>
            </m:r>
          </m:e>
          <m:sup>
            <m:r>
              <m:t>2</m:t>
            </m:r>
          </m:sup>
        </m:sSup>
      </m:oMath>
      <w:r>
        <w:t xml:space="preserve"> </w:t>
      </w:r>
      <w:r>
        <w:t xml:space="preserve">is the variance, and</w:t>
      </w:r>
      <w:r>
        <w:t xml:space="preserve"> </w:t>
      </w:r>
      <m:oMath>
        <m:r>
          <m:t>n</m:t>
        </m:r>
      </m:oMath>
      <w:r>
        <w:t xml:space="preserve"> </w:t>
      </w:r>
      <w:r>
        <w:t xml:space="preserve">is the sample size. Kohavi and Tang emphasize the importance of</w:t>
      </w:r>
      <w:r>
        <w:t xml:space="preserve"> </w:t>
      </w:r>
      <w:r>
        <w:t xml:space="preserve">“</w:t>
      </w:r>
      <w:r>
        <w:t xml:space="preserve">guardrail metrics</w:t>
      </w:r>
      <w:r>
        <w:t xml:space="preserve">”</w:t>
      </w:r>
      <w:r>
        <w:t xml:space="preserve">–metrics that should not degrade (e.g., page load time, error rates)–even if the primary metric (conversion rate) improves.</w:t>
      </w:r>
    </w:p>
    <w:p>
      <w:pPr>
        <w:pStyle w:val="Heading3"/>
      </w:pPr>
      <w:bookmarkStart w:id="54" w:name="longitudinal-and-behavioral-analysis"/>
      <w:r>
        <w:t xml:space="preserve">2.1.5.2 Longitudinal and Behavioral Analysis</w:t>
      </w:r>
      <w:bookmarkEnd w:id="54"/>
    </w:p>
    <w:p>
      <w:pPr>
        <w:pStyle w:val="FirstParagraph"/>
      </w:pPr>
      <w:r>
        <w:t xml:space="preserve">While A/B tests measure short-term conversion, longitudinal studies are required to assess long-term value. Frydman and Camerer (Frydman &amp; Camerer, 2016) discuss the psychology and neuroscience of financial decision-making, suggesting that immediate choices are often driven by emotional or heuristic factors that may not align with long-term well-being. A longitudinal experiment, therefore, must track not just the application submission (conversion), but the subsequent activation and usage of the card to determine true success.</w:t>
      </w:r>
    </w:p>
    <w:p>
      <w:pPr>
        <w:pStyle w:val="Heading2"/>
      </w:pPr>
      <w:bookmarkStart w:id="55" w:name="research-gaps-and-conclusion"/>
      <w:r>
        <w:t xml:space="preserve">2.1.6 Research Gaps and Conclusion</w:t>
      </w:r>
      <w:bookmarkEnd w:id="55"/>
    </w:p>
    <w:p>
      <w:pPr>
        <w:pStyle w:val="FirstParagraph"/>
      </w:pPr>
      <w:r>
        <w:t xml:space="preserve">Despite the extensive literature on digital banking, ML credit scoring, and general e-commerce personalization, several specific gaps remain:</w:t>
      </w:r>
    </w:p>
    <w:p>
      <w:pPr>
        <w:numPr>
          <w:ilvl w:val="0"/>
          <w:numId w:val="1002"/>
        </w:numPr>
        <w:pStyle w:val="Compact"/>
      </w:pPr>
      <w:r>
        <w:rPr>
          <w:b/>
        </w:rPr>
        <w:t xml:space="preserve">Integration Gap:</w:t>
      </w:r>
      <w:r>
        <w:t xml:space="preserve"> </w:t>
      </w:r>
      <w:r>
        <w:t xml:space="preserve">Few studies integrate the technical aspect of ML-driven credit scoring (Pathi, 2025) directly with the frontend UX experimentation (Kohavi &amp; Tang, 2020). Most literature treats the</w:t>
      </w:r>
      <w:r>
        <w:t xml:space="preserve"> </w:t>
      </w:r>
      <w:r>
        <w:t xml:space="preserve">“</w:t>
      </w:r>
      <w:r>
        <w:t xml:space="preserve">score</w:t>
      </w:r>
      <w:r>
        <w:t xml:space="preserve">”</w:t>
      </w:r>
      <w:r>
        <w:t xml:space="preserve"> </w:t>
      </w:r>
      <w:r>
        <w:t xml:space="preserve">and the</w:t>
      </w:r>
      <w:r>
        <w:t xml:space="preserve"> </w:t>
      </w:r>
      <w:r>
        <w:t xml:space="preserve">“</w:t>
      </w:r>
      <w:r>
        <w:t xml:space="preserve">interface</w:t>
      </w:r>
      <w:r>
        <w:t xml:space="preserve">”</w:t>
      </w:r>
      <w:r>
        <w:t xml:space="preserve"> </w:t>
      </w:r>
      <w:r>
        <w:t xml:space="preserve">as separate domains.</w:t>
      </w:r>
    </w:p>
    <w:p>
      <w:pPr>
        <w:numPr>
          <w:ilvl w:val="0"/>
          <w:numId w:val="1002"/>
        </w:numPr>
        <w:pStyle w:val="Compact"/>
      </w:pPr>
      <w:r>
        <w:rPr>
          <w:b/>
        </w:rPr>
        <w:t xml:space="preserve">Longitudinal Personalization Impact:</w:t>
      </w:r>
      <w:r>
        <w:t xml:space="preserve"> </w:t>
      </w:r>
      <w:r>
        <w:t xml:space="preserve">While immediate conversion lift from personalization is well-documented in retail (Ridgway, 2015), there is limited empirical evidence on whether users acquired through highly personalized funnels in</w:t>
      </w:r>
      <w:r>
        <w:t xml:space="preserve"> </w:t>
      </w:r>
      <w:r>
        <w:rPr>
          <w:i/>
        </w:rPr>
        <w:t xml:space="preserve">credit markets</w:t>
      </w:r>
      <w:r>
        <w:t xml:space="preserve"> </w:t>
      </w:r>
      <w:r>
        <w:t xml:space="preserve">exhibit better or worse repayment behaviors over time.</w:t>
      </w:r>
    </w:p>
    <w:p>
      <w:pPr>
        <w:numPr>
          <w:ilvl w:val="0"/>
          <w:numId w:val="1002"/>
        </w:numPr>
        <w:pStyle w:val="Compact"/>
      </w:pPr>
      <w:r>
        <w:rPr>
          <w:b/>
        </w:rPr>
        <w:t xml:space="preserve">Explainability in Acquisition:</w:t>
      </w:r>
      <w:r>
        <w:t xml:space="preserve"> </w:t>
      </w:r>
      <w:r>
        <w:t xml:space="preserve">While Pathi (Pathi, 2025) discusses explainability for the</w:t>
      </w:r>
      <w:r>
        <w:t xml:space="preserve"> </w:t>
      </w:r>
      <w:r>
        <w:rPr>
          <w:i/>
        </w:rPr>
        <w:t xml:space="preserve">model</w:t>
      </w:r>
      <w:r>
        <w:t xml:space="preserve">, there is a lack of research on how presenting these explanations</w:t>
      </w:r>
      <w:r>
        <w:t xml:space="preserve"> </w:t>
      </w:r>
      <w:r>
        <w:rPr>
          <w:i/>
        </w:rPr>
        <w:t xml:space="preserve">during the application process</w:t>
      </w:r>
      <w:r>
        <w:t xml:space="preserve"> </w:t>
      </w:r>
      <w:r>
        <w:t xml:space="preserve">affects user completion rates and trust.</w:t>
      </w:r>
    </w:p>
    <w:p>
      <w:pPr>
        <w:pStyle w:val="FirstParagraph"/>
      </w:pPr>
      <w:r>
        <w:t xml:space="preserve">This thesis aims to address these gaps by conducting a longitudinal online controlled experiment that manipulates personalization options in a web-based credit card application, measuring both immediate conversion and downstream user behavior. By synthesizing the rigorous experimental protocols of Kohavi (Kohavi &amp; Tang, 2020) with the advanced personalization frameworks discussed by Ridgway (Ridgway, 2015) and Pathi (Pathi, 2025), this research will contribute empirical evidence to the intersection of FinTech UX and credit risk management.</w:t>
      </w:r>
    </w:p>
    <w:p>
      <w:pPr>
        <w:pStyle w:val="Heading1"/>
      </w:pPr>
      <w:bookmarkStart w:id="56" w:name="methodology"/>
      <w:r>
        <w:t xml:space="preserve">2.2 Methodology</w:t>
      </w:r>
      <w:bookmarkEnd w:id="56"/>
    </w:p>
    <w:p>
      <w:pPr>
        <w:pStyle w:val="FirstParagraph"/>
      </w:pPr>
      <w:r>
        <w:t xml:space="preserve">This section outlines the methodological framework developed for this thesis. As this research operates at the intersection of financial technology, user experience (UX) design, and behavioral economics, a strong multi-disciplinary approach is required. The methodology is divided into two distinct components: first, the narrative review of existing literature used to establish the theoretical baseline; and second, the proposed experimental design for a longitudinal online controlled experiment. This dual structure ensures that the proposed experimental protocols are grounded in established academic rigor while addressing the specific gaps identified in the integration of machine learning (ML) credit scoring with frontend personalization.</w:t>
      </w:r>
    </w:p>
    <w:p>
      <w:pPr>
        <w:pStyle w:val="Heading2"/>
      </w:pPr>
      <w:bookmarkStart w:id="57" w:name="Xad8666591dcdec93e7e3dbf95bcc47a2bc36245"/>
      <w:r>
        <w:t xml:space="preserve">2.2.1 Research Design and Narrative Review Protocol</w:t>
      </w:r>
      <w:bookmarkEnd w:id="57"/>
    </w:p>
    <w:p>
      <w:pPr>
        <w:pStyle w:val="FirstParagraph"/>
      </w:pPr>
      <w:r>
        <w:t xml:space="preserve">This paper presents a</w:t>
      </w:r>
      <w:r>
        <w:t xml:space="preserve"> </w:t>
      </w:r>
      <w:r>
        <w:rPr>
          <w:b/>
        </w:rPr>
        <w:t xml:space="preserve">narrative review</w:t>
      </w:r>
      <w:r>
        <w:t xml:space="preserve"> </w:t>
      </w:r>
      <w:r>
        <w:t xml:space="preserve">of the literature on digital banking personalization, credit risk assessment, and online controlled experiments. Academic sources were identified through searches of databases including Semantic Scholar, IEEE Xplore, and cross-referencing of citations from seminal works. The search focused on publications primarily from 2015 to 2025 to ensure relevance to the rapidly evolving FinTech environment, with foundational earlier works included where necessary for theoretical context. A total of 34 key sources were selected based on topical relevance, academic rigor, and their contribution to the domains of ML-driven credit scoring and user experience design. This review approach allows for comprehensive coverage of the disparate fields of computer science, finance, and psychology, acknowledging that the selection process was not conducted following formal systematic review protocols (e.g., PRISMA).</w:t>
      </w:r>
    </w:p>
    <w:p>
      <w:pPr>
        <w:pStyle w:val="BodyText"/>
      </w:pPr>
      <w:r>
        <w:t xml:space="preserve">The primary objective of this methodological phase was to synthesize existing frameworks into a coherent experimental design. The literature analysis revealed a bifurcation in current research: studies tend to focus either exclusively on the technical accuracy of credit scoring models (Pathi, 2025)(Sam et al., 2025) or on the psychological impact of personalization on consumer spending (Ridgway, 2015)(Frydman &amp; Camerer, 2016). The research design proposed herein aims to bridge this gap by embedding the technical scoring mechanism directly within the user experience experiment.</w:t>
      </w:r>
    </w:p>
    <w:p>
      <w:pPr>
        <w:pStyle w:val="Heading3"/>
      </w:pPr>
      <w:bookmarkStart w:id="58" w:name="methodological-synthesis-from-literature"/>
      <w:r>
        <w:t xml:space="preserve">2.2.1.1 Methodological Synthesis from Literature</w:t>
      </w:r>
      <w:bookmarkEnd w:id="58"/>
    </w:p>
    <w:p>
      <w:pPr>
        <w:pStyle w:val="FirstParagraph"/>
      </w:pPr>
      <w:r>
        <w:t xml:space="preserve">To construct a valid experimental framework, methodologies from three primary domains were analyzed and synthesized. Table 1 summarizes the key methodological approaches identified in the literature that inform the proposed study design.</w:t>
      </w:r>
    </w:p>
    <w:tbl>
      <w:tblPr>
        <w:tblStyle w:val="Table"/>
        <w:tblW w:type="pct" w:w="5000"/>
        <w:tblLook w:firstRow="1"/>
        <w:tblLayout w:type="autofit"/>
      </w:tblPr>
      <w:tblGrid>
        <w:gridCol w:w="990"/>
        <w:gridCol w:w="2103"/>
        <w:gridCol w:w="990"/>
        <w:gridCol w:w="3836"/>
      </w:tblGrid>
      <w:tr>
        <w:trPr>
          <w:cnfStyle w:firstRow="1"/>
        </w:trPr>
        <w:tc>
          <w:tcPr>
            <w:tcBorders>
              <w:bottom w:val="single"/>
            </w:tcBorders>
            <w:vAlign w:val="bottom"/>
            <w:noWrap/>
          </w:tcPr>
          <w:p>
            <w:pPr>
              <w:pStyle w:val="Compact"/>
              <w:spacing w:before="40" w:after="40"/>
              <w:jc w:val="left"/>
            </w:pPr>
            <w:r>
              <w:rPr>
                <w:sz w:val="18"/>
              </w:rPr>
              <w:t xml:space="preserve">Domain</w:t>
            </w:r>
          </w:p>
        </w:tc>
        <w:tc>
          <w:tcPr>
            <w:tcBorders>
              <w:bottom w:val="single"/>
            </w:tcBorders>
            <w:vAlign w:val="bottom"/>
          </w:tcPr>
          <w:p>
            <w:pPr>
              <w:pStyle w:val="Compact"/>
              <w:spacing w:before="40" w:after="40"/>
              <w:jc w:val="left"/>
            </w:pPr>
            <w:r>
              <w:rPr>
                <w:sz w:val="18"/>
              </w:rPr>
              <w:t xml:space="preserve">Key Methodology</w:t>
            </w:r>
          </w:p>
        </w:tc>
        <w:tc>
          <w:tcPr>
            <w:tcBorders>
              <w:bottom w:val="single"/>
            </w:tcBorders>
            <w:vAlign w:val="bottom"/>
          </w:tcPr>
          <w:p>
            <w:pPr>
              <w:pStyle w:val="Compact"/>
              <w:spacing w:before="40" w:after="40"/>
              <w:jc w:val="left"/>
            </w:pPr>
            <w:r>
              <w:rPr>
                <w:sz w:val="18"/>
              </w:rPr>
              <w:t xml:space="preserve">Source</w:t>
            </w:r>
          </w:p>
        </w:tc>
        <w:tc>
          <w:tcPr>
            <w:tcBorders>
              <w:bottom w:val="single"/>
            </w:tcBorders>
            <w:vAlign w:val="bottom"/>
          </w:tcPr>
          <w:p>
            <w:pPr>
              <w:pStyle w:val="Compact"/>
              <w:spacing w:before="40" w:after="40"/>
              <w:jc w:val="left"/>
            </w:pPr>
            <w:r>
              <w:rPr>
                <w:sz w:val="18"/>
              </w:rPr>
              <w:t xml:space="preserve">Application in Proposed Study</w:t>
            </w:r>
          </w:p>
        </w:tc>
      </w:tr>
      <w:tr>
        <w:tc>
          <w:tcPr>
            <w:noWrap/>
          </w:tcPr>
          <w:p>
            <w:pPr>
              <w:pStyle w:val="Compact"/>
              <w:spacing w:before="40" w:after="40"/>
              <w:jc w:val="left"/>
            </w:pPr>
            <w:r>
              <w:rPr>
                <w:sz w:val="18"/>
              </w:rPr>
              <w:t xml:space="preserve">Exp. Design</w:t>
            </w:r>
          </w:p>
        </w:tc>
        <w:tc>
          <w:tcPr/>
          <w:p>
            <w:pPr>
              <w:pStyle w:val="Compact"/>
              <w:spacing w:before="40" w:after="40"/>
              <w:jc w:val="left"/>
            </w:pPr>
            <w:r>
              <w:rPr>
                <w:sz w:val="18"/>
              </w:rPr>
              <w:t xml:space="preserve">A/B Testing (OEC)</w:t>
            </w:r>
          </w:p>
        </w:tc>
        <w:tc>
          <w:tcPr/>
          <w:p>
            <w:pPr>
              <w:pStyle w:val="Compact"/>
              <w:spacing w:before="40" w:after="40"/>
              <w:jc w:val="left"/>
            </w:pPr>
            <w:r>
              <w:rPr>
                <w:sz w:val="18"/>
              </w:rPr>
              <w:t xml:space="preserve">(Kohavi &amp; Tang, 2020)</w:t>
            </w:r>
          </w:p>
        </w:tc>
        <w:tc>
          <w:tcPr/>
          <w:p>
            <w:pPr>
              <w:pStyle w:val="Compact"/>
              <w:spacing w:before="40" w:after="40"/>
              <w:jc w:val="left"/>
            </w:pPr>
            <w:r>
              <w:rPr>
                <w:sz w:val="18"/>
              </w:rPr>
              <w:t xml:space="preserve">Overall Effectiveness Criterion</w:t>
            </w:r>
          </w:p>
        </w:tc>
      </w:tr>
      <w:tr>
        <w:tc>
          <w:tcPr>
            <w:noWrap/>
          </w:tcPr>
          <w:p>
            <w:pPr>
              <w:pStyle w:val="Compact"/>
              <w:spacing w:before="40" w:after="40"/>
              <w:jc w:val="left"/>
            </w:pPr>
            <w:r>
              <w:rPr>
                <w:sz w:val="18"/>
              </w:rPr>
              <w:t xml:space="preserve">Credit Risk</w:t>
            </w:r>
          </w:p>
        </w:tc>
        <w:tc>
          <w:tcPr/>
          <w:p>
            <w:pPr>
              <w:pStyle w:val="Compact"/>
              <w:spacing w:before="40" w:after="40"/>
              <w:jc w:val="left"/>
            </w:pPr>
            <w:r>
              <w:rPr>
                <w:sz w:val="18"/>
              </w:rPr>
              <w:t xml:space="preserve">ML/XGBoost/SHAP</w:t>
            </w:r>
          </w:p>
        </w:tc>
        <w:tc>
          <w:tcPr/>
          <w:p>
            <w:pPr>
              <w:pStyle w:val="Compact"/>
              <w:spacing w:before="40" w:after="40"/>
              <w:jc w:val="left"/>
            </w:pPr>
            <w:r>
              <w:rPr>
                <w:sz w:val="18"/>
              </w:rPr>
              <w:t xml:space="preserve">(Pathi, 2025)</w:t>
            </w:r>
          </w:p>
        </w:tc>
        <w:tc>
          <w:tcPr/>
          <w:p>
            <w:pPr>
              <w:pStyle w:val="Compact"/>
              <w:spacing w:before="40" w:after="40"/>
              <w:jc w:val="left"/>
            </w:pPr>
            <w:r>
              <w:rPr>
                <w:sz w:val="18"/>
              </w:rPr>
              <w:t xml:space="preserve">Real-time credit scoring model</w:t>
            </w:r>
          </w:p>
        </w:tc>
      </w:tr>
      <w:tr>
        <w:tc>
          <w:tcPr>
            <w:noWrap/>
          </w:tcPr>
          <w:p>
            <w:pPr>
              <w:pStyle w:val="Compact"/>
              <w:spacing w:before="40" w:after="40"/>
              <w:jc w:val="left"/>
            </w:pPr>
            <w:r>
              <w:rPr>
                <w:sz w:val="18"/>
              </w:rPr>
              <w:t xml:space="preserve">Psychology</w:t>
            </w:r>
          </w:p>
        </w:tc>
        <w:tc>
          <w:tcPr/>
          <w:p>
            <w:pPr>
              <w:pStyle w:val="Compact"/>
              <w:spacing w:before="40" w:after="40"/>
              <w:jc w:val="left"/>
            </w:pPr>
            <w:r>
              <w:rPr>
                <w:sz w:val="18"/>
              </w:rPr>
              <w:t xml:space="preserve">Longitudinal Tracking</w:t>
            </w:r>
          </w:p>
        </w:tc>
        <w:tc>
          <w:tcPr/>
          <w:p>
            <w:pPr>
              <w:pStyle w:val="Compact"/>
              <w:spacing w:before="40" w:after="40"/>
              <w:jc w:val="left"/>
            </w:pPr>
            <w:r>
              <w:rPr>
                <w:sz w:val="18"/>
              </w:rPr>
              <w:t xml:space="preserve">(Frydman &amp; Camerer, 2016)</w:t>
            </w:r>
          </w:p>
        </w:tc>
        <w:tc>
          <w:tcPr/>
          <w:p>
            <w:pPr>
              <w:pStyle w:val="Compact"/>
              <w:spacing w:before="40" w:after="40"/>
              <w:jc w:val="left"/>
            </w:pPr>
            <w:r>
              <w:rPr>
                <w:sz w:val="18"/>
              </w:rPr>
              <w:t xml:space="preserve">Time-inconsistent preferences</w:t>
            </w:r>
          </w:p>
        </w:tc>
      </w:tr>
      <w:tr>
        <w:tc>
          <w:tcPr>
            <w:noWrap/>
          </w:tcPr>
          <w:p>
            <w:pPr>
              <w:pStyle w:val="Compact"/>
              <w:spacing w:before="40" w:after="40"/>
              <w:jc w:val="left"/>
            </w:pPr>
            <w:r>
              <w:rPr>
                <w:sz w:val="18"/>
              </w:rPr>
              <w:t xml:space="preserve">UX/UI</w:t>
            </w:r>
          </w:p>
        </w:tc>
        <w:tc>
          <w:tcPr/>
          <w:p>
            <w:pPr>
              <w:pStyle w:val="Compact"/>
              <w:spacing w:before="40" w:after="40"/>
              <w:jc w:val="left"/>
            </w:pPr>
            <w:r>
              <w:rPr>
                <w:sz w:val="18"/>
              </w:rPr>
              <w:t xml:space="preserve">Client-side Personalization</w:t>
            </w:r>
          </w:p>
        </w:tc>
        <w:tc>
          <w:tcPr/>
          <w:p>
            <w:pPr>
              <w:pStyle w:val="Compact"/>
              <w:spacing w:before="40" w:after="40"/>
              <w:jc w:val="left"/>
            </w:pPr>
            <w:r>
              <w:rPr>
                <w:sz w:val="18"/>
              </w:rPr>
              <w:t xml:space="preserve">(Asif &amp; Krogstie, 2013)</w:t>
            </w:r>
          </w:p>
        </w:tc>
        <w:tc>
          <w:tcPr/>
          <w:p>
            <w:pPr>
              <w:pStyle w:val="Compact"/>
              <w:spacing w:before="40" w:after="40"/>
              <w:jc w:val="left"/>
            </w:pPr>
            <w:r>
              <w:rPr>
                <w:sz w:val="18"/>
              </w:rPr>
              <w:t xml:space="preserve">Interface adaptation</w:t>
            </w:r>
          </w:p>
        </w:tc>
      </w:tr>
      <w:tr>
        <w:tc>
          <w:tcPr>
            <w:noWrap/>
          </w:tcPr>
          <w:p>
            <w:pPr>
              <w:pStyle w:val="Compact"/>
              <w:spacing w:before="40" w:after="40"/>
              <w:jc w:val="left"/>
            </w:pPr>
            <w:r>
              <w:rPr>
                <w:sz w:val="18"/>
              </w:rPr>
              <w:t xml:space="preserve">Security</w:t>
            </w:r>
          </w:p>
        </w:tc>
        <w:tc>
          <w:tcPr/>
          <w:p>
            <w:pPr>
              <w:pStyle w:val="Compact"/>
              <w:spacing w:before="40" w:after="40"/>
              <w:jc w:val="left"/>
            </w:pPr>
            <w:r>
              <w:rPr>
                <w:sz w:val="18"/>
              </w:rPr>
              <w:t xml:space="preserve">KYC/Identity Verification</w:t>
            </w:r>
          </w:p>
        </w:tc>
        <w:tc>
          <w:tcPr/>
          <w:p>
            <w:pPr>
              <w:pStyle w:val="Compact"/>
              <w:spacing w:before="40" w:after="40"/>
              <w:jc w:val="left"/>
            </w:pPr>
            <w:r>
              <w:rPr>
                <w:sz w:val="18"/>
              </w:rPr>
              <w:t xml:space="preserve">(Zentoni et al., 2025)</w:t>
            </w:r>
          </w:p>
        </w:tc>
        <w:tc>
          <w:tcPr/>
          <w:p>
            <w:pPr>
              <w:pStyle w:val="Compact"/>
              <w:spacing w:before="40" w:after="40"/>
              <w:jc w:val="left"/>
            </w:pPr>
            <w:r>
              <w:rPr>
                <w:sz w:val="18"/>
              </w:rPr>
              <w:t xml:space="preserve">User authentication protocol</w:t>
            </w:r>
          </w:p>
        </w:tc>
      </w:tr>
    </w:tbl>
    <w:p>
      <w:pPr>
        <w:pStyle w:val="BodyText"/>
      </w:pPr>
      <w:r>
        <w:rPr>
          <w:i/>
        </w:rPr>
        <w:t xml:space="preserve">Table 1: Synthesis of Methodological Approaches from Cited Literature.</w:t>
      </w:r>
    </w:p>
    <w:p>
      <w:pPr>
        <w:pStyle w:val="BodyText"/>
      </w:pPr>
      <w:r>
        <w:t xml:space="preserve">The synthesis of these approaches suggests that a single-point data collection method (e.g., a survey) is insufficient for assessing credit card application behavior. As noted by Frydman and Camerer (Frydman &amp; Camerer, 2016), financial decisions are often influenced by immediate emotional states that dissociate from long-term well-being. Therefore, the research design must adopt a longitudinal perspective, tracking users from the initial interface interaction through to credit repayment behaviors. This aligns with the</w:t>
      </w:r>
      <w:r>
        <w:t xml:space="preserve"> </w:t>
      </w:r>
      <w:r>
        <w:t xml:space="preserve">“</w:t>
      </w:r>
      <w:r>
        <w:t xml:space="preserve">Trustworthy Online Controlled Experiments</w:t>
      </w:r>
      <w:r>
        <w:t xml:space="preserve">”</w:t>
      </w:r>
      <w:r>
        <w:t xml:space="preserve"> </w:t>
      </w:r>
      <w:r>
        <w:t xml:space="preserve">framework advocated by Kohavi and Tang (Kohavi &amp; Tang, 2020), which emphasizes the necessity of defining an Overall Evaluation Criterion (OEC) that captures long-term value rather than short-term vanity metrics.</w:t>
      </w:r>
    </w:p>
    <w:p>
      <w:pPr>
        <w:pStyle w:val="Heading2"/>
      </w:pPr>
      <w:bookmarkStart w:id="59" w:name="proposed-experimental-framework"/>
      <w:r>
        <w:t xml:space="preserve">2.2.2 Proposed Experimental Framework</w:t>
      </w:r>
      <w:bookmarkEnd w:id="59"/>
    </w:p>
    <w:p>
      <w:pPr>
        <w:pStyle w:val="FirstParagraph"/>
      </w:pPr>
      <w:r>
        <w:t xml:space="preserve">Based on the gaps identified in Section 2.1, this thesis proposes a longitudinal online controlled experiment (A/B/n test). The experiment is designed to isolate the effect of</w:t>
      </w:r>
      <w:r>
        <w:t xml:space="preserve"> </w:t>
      </w:r>
      <w:r>
        <w:t xml:space="preserve">“</w:t>
      </w:r>
      <w:r>
        <w:t xml:space="preserve">personalization options</w:t>
      </w:r>
      <w:r>
        <w:t xml:space="preserve">”</w:t>
      </w:r>
      <w:r>
        <w:t xml:space="preserve"> </w:t>
      </w:r>
      <w:r>
        <w:t xml:space="preserve">on two distinct dependent variables:</w:t>
      </w:r>
      <w:r>
        <w:t xml:space="preserve"> </w:t>
      </w:r>
      <w:r>
        <w:rPr>
          <w:i/>
        </w:rPr>
        <w:t xml:space="preserve">Application Conversion Rate</w:t>
      </w:r>
      <w:r>
        <w:t xml:space="preserve"> </w:t>
      </w:r>
      <w:r>
        <w:t xml:space="preserve">(short-term) and</w:t>
      </w:r>
      <w:r>
        <w:t xml:space="preserve"> </w:t>
      </w:r>
      <w:r>
        <w:rPr>
          <w:i/>
        </w:rPr>
        <w:t xml:space="preserve">Early Default/Delinquency Rate</w:t>
      </w:r>
      <w:r>
        <w:t xml:space="preserve"> </w:t>
      </w:r>
      <w:r>
        <w:t xml:space="preserve">(long-term).</w:t>
      </w:r>
    </w:p>
    <w:p>
      <w:pPr>
        <w:pStyle w:val="Heading3"/>
      </w:pPr>
      <w:bookmarkStart w:id="60" w:name="experimental-conditions-and-variables"/>
      <w:r>
        <w:t xml:space="preserve">2.2.2.1 Experimental Conditions and Variables</w:t>
      </w:r>
      <w:bookmarkEnd w:id="60"/>
    </w:p>
    <w:p>
      <w:pPr>
        <w:pStyle w:val="FirstParagraph"/>
      </w:pPr>
      <w:r>
        <w:t xml:space="preserve">The proposed experiment uses a between-subjects design where users landing on the credit card application portal are randomly assigned to one of three experimental conditions. The randomization algorithm must ensure ensuring statistical independence between groups, a critical requirement for valid causal inference in online experiments (Kohavi &amp; Tang, 2020).</w:t>
      </w:r>
    </w:p>
    <w:p>
      <w:pPr>
        <w:pStyle w:val="BodyText"/>
      </w:pPr>
      <w:r>
        <w:rPr>
          <w:b/>
        </w:rPr>
        <w:t xml:space="preserve">Independent Variable: Level of Personalization</w:t>
      </w:r>
      <w:r>
        <w:t xml:space="preserve"> </w:t>
      </w:r>
      <w:r>
        <w:t xml:space="preserve">1.</w:t>
      </w:r>
      <w:r>
        <w:t xml:space="preserve"> </w:t>
      </w:r>
      <w:r>
        <w:rPr>
          <w:b/>
        </w:rPr>
        <w:t xml:space="preserve">Control Group (A):</w:t>
      </w:r>
      <w:r>
        <w:t xml:space="preserve"> </w:t>
      </w:r>
      <w:r>
        <w:t xml:space="preserve">Standard static application form. Users see a generic</w:t>
      </w:r>
      <w:r>
        <w:t xml:space="preserve"> </w:t>
      </w:r>
      <w:r>
        <w:t xml:space="preserve">“</w:t>
      </w:r>
      <w:r>
        <w:t xml:space="preserve">one-size-fits-all</w:t>
      </w:r>
      <w:r>
        <w:t xml:space="preserve">”</w:t>
      </w:r>
      <w:r>
        <w:t xml:space="preserve"> </w:t>
      </w:r>
      <w:r>
        <w:t xml:space="preserve">interface with standard credit card offers, regardless of their demographic or behavioral profile.</w:t>
      </w:r>
      <w:r>
        <w:t xml:space="preserve"> </w:t>
      </w:r>
      <w:r>
        <w:t xml:space="preserve">2.</w:t>
      </w:r>
      <w:r>
        <w:t xml:space="preserve"> </w:t>
      </w:r>
      <w:r>
        <w:rPr>
          <w:b/>
        </w:rPr>
        <w:t xml:space="preserve">Treatment Group 1 (B - Surface Personalization):</w:t>
      </w:r>
      <w:r>
        <w:t xml:space="preserve"> </w:t>
      </w:r>
      <w:r>
        <w:t xml:space="preserve">Users see an interface that adapts superficially based on basic browser data (e.g., location, device type). This aligns with client-side personalization techniques discussed by Asif and Krogstie (Asif &amp; Krogstie, 2013), where the layout adjusts to the device but the core financial product remains static.</w:t>
      </w:r>
      <w:r>
        <w:t xml:space="preserve"> </w:t>
      </w:r>
      <w:r>
        <w:t xml:space="preserve">3.</w:t>
      </w:r>
      <w:r>
        <w:t xml:space="preserve"> </w:t>
      </w:r>
      <w:r>
        <w:rPr>
          <w:b/>
        </w:rPr>
        <w:t xml:space="preserve">Treatment Group 2 (C - Deep/Risk-Aware Personalization):</w:t>
      </w:r>
      <w:r>
        <w:t xml:space="preserve"> </w:t>
      </w:r>
      <w:r>
        <w:t xml:space="preserve">Users interact with a dynamic interface driven by a real-time ML assessment. As proposed by Pathi (Pathi, 2025), this condition uses a multi-agent framework where preliminary data is processed to offer personalized credit terms and explanations (XAI) during the application process.</w:t>
      </w:r>
    </w:p>
    <w:p>
      <w:pPr>
        <w:pStyle w:val="BodyText"/>
      </w:pPr>
      <w:r>
        <w:rPr>
          <w:b/>
        </w:rPr>
        <w:t xml:space="preserve">Dependent Variables</w:t>
      </w:r>
      <w:r>
        <w:t xml:space="preserve"> </w:t>
      </w:r>
      <w:r>
        <w:t xml:space="preserve">To measure the efficacy of these conditions, the study tracks specific metrics defined in the literature.</w:t>
      </w:r>
    </w:p>
    <w:p>
      <w:pPr>
        <w:numPr>
          <w:ilvl w:val="0"/>
          <w:numId w:val="1003"/>
        </w:numPr>
      </w:pPr>
      <w:r>
        <w:rPr>
          <w:b/>
        </w:rPr>
        <w:t xml:space="preserve">Conversion Rate (</w:t>
      </w:r>
      <m:oMath>
        <m:r>
          <m:t>C</m:t>
        </m:r>
        <m:r>
          <m:t>R</m:t>
        </m:r>
      </m:oMath>
      <w:r>
        <w:rPr>
          <w:b/>
        </w:rPr>
        <w:t xml:space="preserve">):</w:t>
      </w:r>
      <w:r>
        <w:t xml:space="preserve"> </w:t>
      </w:r>
      <w:r>
        <w:t xml:space="preserve">Defined as the percentage of users who complete the application process.</w:t>
      </w:r>
    </w:p>
    <w:p>
      <w:pPr>
        <w:pStyle w:val="BodyText"/>
      </w:pPr>
      <m:oMathPara>
        <m:oMathParaPr>
          <m:jc m:val="center"/>
        </m:oMathParaPr>
        <m:oMath>
          <m:r>
            <m:t>C</m:t>
          </m:r>
          <m:r>
            <m:t>R</m:t>
          </m:r>
          <m:r>
            <m:t>=</m:t>
          </m:r>
          <m:f>
            <m:fPr>
              <m:type m:val="bar"/>
            </m:fPr>
            <m:num>
              <m:sSub>
                <m:e>
                  <m:r>
                    <m:t>N</m:t>
                  </m:r>
                </m:e>
                <m:sub>
                  <m:r>
                    <m:t>c</m:t>
                  </m:r>
                  <m:r>
                    <m:t>o</m:t>
                  </m:r>
                  <m:r>
                    <m:t>m</m:t>
                  </m:r>
                  <m:r>
                    <m:t>p</m:t>
                  </m:r>
                  <m:r>
                    <m:t>l</m:t>
                  </m:r>
                  <m:r>
                    <m:t>e</m:t>
                  </m:r>
                  <m:r>
                    <m:t>t</m:t>
                  </m:r>
                  <m:r>
                    <m:t>e</m:t>
                  </m:r>
                  <m:r>
                    <m:t>d</m:t>
                  </m:r>
                </m:sub>
              </m:sSub>
            </m:num>
            <m:den>
              <m:sSub>
                <m:e>
                  <m:r>
                    <m:t>N</m:t>
                  </m:r>
                </m:e>
                <m:sub>
                  <m:r>
                    <m:t>s</m:t>
                  </m:r>
                  <m:r>
                    <m:t>t</m:t>
                  </m:r>
                  <m:r>
                    <m:t>a</m:t>
                  </m:r>
                  <m:r>
                    <m:t>r</m:t>
                  </m:r>
                  <m:r>
                    <m:t>t</m:t>
                  </m:r>
                  <m:r>
                    <m:t>e</m:t>
                  </m:r>
                  <m:r>
                    <m:t>d</m:t>
                  </m:r>
                </m:sub>
              </m:sSub>
            </m:den>
          </m:f>
          <m:r>
            <m:t>×</m:t>
          </m:r>
          <m:r>
            <m:t>100</m:t>
          </m:r>
        </m:oMath>
      </m:oMathPara>
    </w:p>
    <w:p>
      <w:pPr>
        <w:numPr>
          <w:ilvl w:val="0"/>
          <w:numId w:val="1003"/>
        </w:numPr>
      </w:pPr>
      <w:r>
        <w:t xml:space="preserve">Where</w:t>
      </w:r>
      <w:r>
        <w:t xml:space="preserve"> </w:t>
      </w:r>
      <m:oMath>
        <m:sSub>
          <m:e>
            <m:r>
              <m:t>N</m:t>
            </m:r>
          </m:e>
          <m:sub>
            <m:r>
              <m:t>s</m:t>
            </m:r>
            <m:r>
              <m:t>t</m:t>
            </m:r>
            <m:r>
              <m:t>a</m:t>
            </m:r>
            <m:r>
              <m:t>r</m:t>
            </m:r>
            <m:r>
              <m:t>t</m:t>
            </m:r>
            <m:r>
              <m:t>e</m:t>
            </m:r>
            <m:r>
              <m:t>d</m:t>
            </m:r>
          </m:sub>
        </m:sSub>
      </m:oMath>
      <w:r>
        <w:t xml:space="preserve"> </w:t>
      </w:r>
      <w:r>
        <w:t xml:space="preserve">is the number of unique visitors who initiate the form, and</w:t>
      </w:r>
      <w:r>
        <w:t xml:space="preserve"> </w:t>
      </w:r>
      <m:oMath>
        <m:sSub>
          <m:e>
            <m:r>
              <m:t>N</m:t>
            </m:r>
          </m:e>
          <m:sub>
            <m:r>
              <m:t>c</m:t>
            </m:r>
            <m:r>
              <m:t>o</m:t>
            </m:r>
            <m:r>
              <m:t>m</m:t>
            </m:r>
            <m:r>
              <m:t>p</m:t>
            </m:r>
            <m:r>
              <m:t>l</m:t>
            </m:r>
            <m:r>
              <m:t>e</m:t>
            </m:r>
            <m:r>
              <m:t>t</m:t>
            </m:r>
            <m:r>
              <m:t>e</m:t>
            </m:r>
            <m:r>
              <m:t>d</m:t>
            </m:r>
          </m:sub>
        </m:sSub>
      </m:oMath>
      <w:r>
        <w:t xml:space="preserve"> </w:t>
      </w:r>
      <w:r>
        <w:t xml:space="preserve">is the number of successfully submitted applications. This metric addresses the</w:t>
      </w:r>
      <w:r>
        <w:t xml:space="preserve"> </w:t>
      </w:r>
      <w:r>
        <w:t xml:space="preserve">“</w:t>
      </w:r>
      <w:r>
        <w:t xml:space="preserve">hidden conversion funnel</w:t>
      </w:r>
      <w:r>
        <w:t xml:space="preserve">”</w:t>
      </w:r>
      <w:r>
        <w:t xml:space="preserve"> </w:t>
      </w:r>
      <w:r>
        <w:t xml:space="preserve">issues identified by Goldstein and Hajaj (Goldstein &amp; Hajaj, 2022).</w:t>
      </w:r>
    </w:p>
    <w:p>
      <w:pPr>
        <w:numPr>
          <w:ilvl w:val="0"/>
          <w:numId w:val="1003"/>
        </w:numPr>
      </w:pPr>
      <w:r>
        <w:rPr>
          <w:b/>
        </w:rPr>
        <w:t xml:space="preserve">Delinquency Probability (</w:t>
      </w:r>
      <m:oMath>
        <m:sSub>
          <m:e>
            <m:r>
              <m:t>P</m:t>
            </m:r>
          </m:e>
          <m:sub>
            <m:r>
              <m:t>d</m:t>
            </m:r>
          </m:sub>
        </m:sSub>
      </m:oMath>
      <w:r>
        <w:rPr>
          <w:b/>
        </w:rPr>
        <w:t xml:space="preserve">):</w:t>
      </w:r>
      <w:r>
        <w:t xml:space="preserve"> </w:t>
      </w:r>
      <w:r>
        <w:t xml:space="preserve">A predicted measure of long-term value. Since actual default takes months to manifest, the experiment proposes using the output of a validated credit risk model (e.g., XGBoost) as a proxy for future behavior, as validated in recent FinTech studies (Pathi, 2025)(Sam et al., 2025).</w:t>
      </w:r>
    </w:p>
    <w:p>
      <w:pPr>
        <w:pStyle w:val="Heading3"/>
      </w:pPr>
      <w:bookmarkStart w:id="61" w:name="X1e37d5082389afe6bf741b92209617970334905"/>
      <w:r>
        <w:t xml:space="preserve">2.2.2.2 Participant Recruitment and Sampling Strategy</w:t>
      </w:r>
      <w:bookmarkEnd w:id="61"/>
    </w:p>
    <w:p>
      <w:pPr>
        <w:pStyle w:val="FirstParagraph"/>
      </w:pPr>
      <w:r>
        <w:t xml:space="preserve">The proposed methodology assumes a deployment environment within a live banking or FinTech system to ensure ecological validity. Unlike laboratory studies which often suffer from lack of realism, an online controlled experiment allows for the observation of natural user behavior. The target population includes first-time visitors to the credit card application portal.</w:t>
      </w:r>
    </w:p>
    <w:p>
      <w:pPr>
        <w:pStyle w:val="BodyText"/>
      </w:pPr>
      <w:r>
        <w:t xml:space="preserve">Sample size calculation is a critical component of the design. Following the guidelines by Kohavi and Tang (Kohavi &amp; Tang, 2020), the required sample size (</w:t>
      </w:r>
      <m:oMath>
        <m:r>
          <m:t>N</m:t>
        </m:r>
      </m:oMath>
      <w:r>
        <w:t xml:space="preserve">) per variant is estimated based on the minimum detectable effect (MDE). Assuming a baseline conversion rate of 10% and a desired power of 80% (</w:t>
      </w:r>
      <m:oMath>
        <m:r>
          <m:t>β</m:t>
        </m:r>
        <m:r>
          <m:t>=</m:t>
        </m:r>
        <m:r>
          <m:t>0.2</m:t>
        </m:r>
      </m:oMath>
      <w:r>
        <w:t xml:space="preserve">) with a significance level of 5% (</w:t>
      </w:r>
      <m:oMath>
        <m:r>
          <m:t>α</m:t>
        </m:r>
        <m:r>
          <m:t>=</m:t>
        </m:r>
        <m:r>
          <m:t>0.05</m:t>
        </m:r>
      </m:oMath>
      <w:r>
        <w:t xml:space="preserve">), the sample size calculation would follow standard power analysis protocols:</w:t>
      </w:r>
    </w:p>
    <w:p>
      <w:pPr>
        <w:pStyle w:val="BodyText"/>
      </w:pPr>
      <m:oMathPara>
        <m:oMathParaPr>
          <m:jc m:val="center"/>
        </m:oMathParaPr>
        <m:oMath>
          <m:r>
            <m:t>N</m:t>
          </m:r>
          <m:r>
            <m:t>≈</m:t>
          </m:r>
          <m:f>
            <m:fPr>
              <m:type m:val="bar"/>
            </m:fPr>
            <m:num>
              <m:r>
                <m:t>16</m:t>
              </m:r>
              <m:sSup>
                <m:e>
                  <m:r>
                    <m:t>σ</m:t>
                  </m:r>
                </m:e>
                <m:sup>
                  <m:r>
                    <m:t>2</m:t>
                  </m:r>
                </m:sup>
              </m:sSup>
            </m:num>
            <m:den>
              <m:sSup>
                <m:e>
                  <m:r>
                    <m:t>δ</m:t>
                  </m:r>
                </m:e>
                <m:sup>
                  <m:r>
                    <m:t>2</m:t>
                  </m:r>
                </m:sup>
              </m:sSup>
            </m:den>
          </m:f>
        </m:oMath>
      </m:oMathPara>
    </w:p>
    <w:p>
      <w:pPr>
        <w:pStyle w:val="FirstParagraph"/>
      </w:pPr>
      <w:r>
        <w:t xml:space="preserve">Where</w:t>
      </w:r>
      <w:r>
        <w:t xml:space="preserve"> </w:t>
      </w:r>
      <m:oMath>
        <m:sSup>
          <m:e>
            <m:r>
              <m:t>σ</m:t>
            </m:r>
          </m:e>
          <m:sup>
            <m:r>
              <m:t>2</m:t>
            </m:r>
          </m:sup>
        </m:sSup>
      </m:oMath>
      <w:r>
        <w:t xml:space="preserve"> </w:t>
      </w:r>
      <w:r>
        <w:t xml:space="preserve">is the variance of the metric and</w:t>
      </w:r>
      <w:r>
        <w:t xml:space="preserve"> </w:t>
      </w:r>
      <m:oMath>
        <m:r>
          <m:t>δ</m:t>
        </m:r>
      </m:oMath>
      <w:r>
        <w:t xml:space="preserve"> </w:t>
      </w:r>
      <w:r>
        <w:t xml:space="preserve">is the minimum detectable effect. Given the typically high variance in financial conversion data, the study design requires a substantial traffic volume, likely in the range of thousands of unique visitors, to achieve statistical significance. This requirement underscores the importance of the digital banking maturity context discussed by Deloitte (Deloitte, 2026), as only mature digital platforms can sustain the necessary traffic for such granular experimentation.</w:t>
      </w:r>
    </w:p>
    <w:p>
      <w:pPr>
        <w:pStyle w:val="Heading2"/>
      </w:pPr>
      <w:bookmarkStart w:id="62" w:name="Xe990be3c8b08b91555b631ab0e4c9e2a6fbe204"/>
      <w:r>
        <w:t xml:space="preserve">2.2.3 Technical Architecture and Implementation</w:t>
      </w:r>
      <w:bookmarkEnd w:id="62"/>
    </w:p>
    <w:p>
      <w:pPr>
        <w:pStyle w:val="FirstParagraph"/>
      </w:pPr>
      <w:r>
        <w:t xml:space="preserve">To execute the proposed experiment, a strong technical architecture is required. The literature review identifies several key technologies that enable secure, personalized, and responsive web applications suitable for financial data collection.</w:t>
      </w:r>
    </w:p>
    <w:p>
      <w:pPr>
        <w:pStyle w:val="Heading3"/>
      </w:pPr>
      <w:bookmarkStart w:id="63" w:name="frontend-and-user-interface-technologies"/>
      <w:r>
        <w:t xml:space="preserve">2.2.3.1 Frontend and User Interface Technologies</w:t>
      </w:r>
      <w:bookmarkEnd w:id="63"/>
    </w:p>
    <w:p>
      <w:pPr>
        <w:pStyle w:val="FirstParagraph"/>
      </w:pPr>
      <w:r>
        <w:t xml:space="preserve">The application interface serves as the primary stimulus in the experiment. To support the</w:t>
      </w:r>
      <w:r>
        <w:t xml:space="preserve"> </w:t>
      </w:r>
      <w:r>
        <w:t xml:space="preserve">“</w:t>
      </w:r>
      <w:r>
        <w:t xml:space="preserve">Deep Personalization</w:t>
      </w:r>
      <w:r>
        <w:t xml:space="preserve">”</w:t>
      </w:r>
      <w:r>
        <w:t xml:space="preserve"> </w:t>
      </w:r>
      <w:r>
        <w:t xml:space="preserve">condition, the frontend must be capable of dynamic rendering based on server-side logic. Litvinavicius (Litvinavicius, 2019) highlights</w:t>
      </w:r>
      <w:r>
        <w:t xml:space="preserve"> </w:t>
      </w:r>
      <w:r>
        <w:rPr>
          <w:b/>
        </w:rPr>
        <w:t xml:space="preserve">Blazor Server-side</w:t>
      </w:r>
      <w:r>
        <w:t xml:space="preserve"> </w:t>
      </w:r>
      <w:r>
        <w:t xml:space="preserve">as a potent framework for such applications. Blazor allows C# code to run on the server while updating the client UI over a SignalR connection, enabling complex logic (like real-time credit scoring adjustments) to be executed securely without exposing sensitive algorithms to the client browser.</w:t>
      </w:r>
    </w:p>
    <w:p>
      <w:pPr>
        <w:pStyle w:val="BodyText"/>
      </w:pPr>
      <w:r>
        <w:t xml:space="preserve">Furthermore, the design must account for the prevalence of mobile access in financial services. As noted by Huang et al. (Huang et al., 2025), short-form and mobile-first interactions are becoming dominant. Therefore, the application must uses responsive HTML5 design principles. However, security is essential; Dora and Hluchý (Dora &amp; Hluchý, 2025) warn of</w:t>
      </w:r>
      <w:r>
        <w:t xml:space="preserve"> </w:t>
      </w:r>
      <w:r>
        <w:t xml:space="preserve">“</w:t>
      </w:r>
      <w:r>
        <w:t xml:space="preserve">HTML Smuggling</w:t>
      </w:r>
      <w:r>
        <w:t xml:space="preserve">”</w:t>
      </w:r>
      <w:r>
        <w:t xml:space="preserve"> </w:t>
      </w:r>
      <w:r>
        <w:t xml:space="preserve">attacks where malicious scripts are hidden in HTML5 and JavaScript. The proposed architecture mitigates this by implementing strict Content Security Policies (CSP) and server-side validation, ensuring that the personalization scripts do not introduce vulnerabilities.</w:t>
      </w:r>
    </w:p>
    <w:p>
      <w:pPr>
        <w:pStyle w:val="Heading3"/>
      </w:pPr>
      <w:bookmarkStart w:id="64" w:name="machine-learning-integration-backend"/>
      <w:r>
        <w:t xml:space="preserve">2.2.3.2 Machine Learning Integration (Backend)</w:t>
      </w:r>
      <w:bookmarkEnd w:id="64"/>
    </w:p>
    <w:p>
      <w:pPr>
        <w:pStyle w:val="FirstParagraph"/>
      </w:pPr>
      <w:r>
        <w:t xml:space="preserve">The</w:t>
      </w:r>
      <w:r>
        <w:t xml:space="preserve"> </w:t>
      </w:r>
      <w:r>
        <w:t xml:space="preserve">“</w:t>
      </w:r>
      <w:r>
        <w:t xml:space="preserve">Deep Personalization</w:t>
      </w:r>
      <w:r>
        <w:t xml:space="preserve">”</w:t>
      </w:r>
      <w:r>
        <w:t xml:space="preserve"> </w:t>
      </w:r>
      <w:r>
        <w:t xml:space="preserve">condition relies on a backend Machine Learning (ML) engine to generate real-time recommendations. The methodology integrates the framework proposed by Pathi (Pathi, 2025), which uses a multi-agent system combining Interpretable Machine Learning (IML) with Large Language Models (LLMs).</w:t>
      </w:r>
    </w:p>
    <w:p>
      <w:pPr>
        <w:numPr>
          <w:ilvl w:val="0"/>
          <w:numId w:val="1004"/>
        </w:numPr>
      </w:pPr>
      <w:r>
        <w:rPr>
          <w:b/>
        </w:rPr>
        <w:t xml:space="preserve">Risk Assessment Agent:</w:t>
      </w:r>
      <w:r>
        <w:t xml:space="preserve"> </w:t>
      </w:r>
      <w:r>
        <w:t xml:space="preserve">This component uses an XGBoost model trained on historical loan data (e.g., Lending Club dataset) to predict applicant risk. The model calculates the probability of default (</w:t>
      </w:r>
      <m:oMath>
        <m:r>
          <m:t>P</m:t>
        </m:r>
        <m:r>
          <m:t>(</m:t>
        </m:r>
        <m:r>
          <m:t>y</m:t>
        </m:r>
        <m:r>
          <m:t>=</m:t>
        </m:r>
        <m:r>
          <m:t>1</m:t>
        </m:r>
        <m:r>
          <m:t>|</m:t>
        </m:r>
        <m:r>
          <m:t>x</m:t>
        </m:r>
        <m:r>
          <m:t>)</m:t>
        </m:r>
      </m:oMath>
      <w:r>
        <w:t xml:space="preserve">).</w:t>
      </w:r>
    </w:p>
    <w:p>
      <w:pPr>
        <w:pStyle w:val="BodyText"/>
      </w:pPr>
      <m:oMathPara>
        <m:oMathParaPr>
          <m:jc m:val="center"/>
        </m:oMathParaPr>
        <m:oMath>
          <m:r>
            <m:rPr>
              <m:nor/>
              <m:sty m:val="p"/>
            </m:rPr>
            <m:t>LogOdds</m:t>
          </m:r>
          <m:r>
            <m:t>=</m:t>
          </m:r>
          <m:nary>
            <m:naryPr>
              <m:chr m:val="∑"/>
              <m:limLoc m:val="undOvr"/>
              <m:subHide m:val="0"/>
              <m:supHide m:val="0"/>
            </m:naryPr>
            <m:sub>
              <m:r>
                <m:t>k</m:t>
              </m:r>
              <m:r>
                <m:t>=</m:t>
              </m:r>
              <m:r>
                <m:t>1</m:t>
              </m:r>
            </m:sub>
            <m:sup>
              <m:r>
                <m:t>K</m:t>
              </m:r>
            </m:sup>
            <m:e>
              <m:sSub>
                <m:e>
                  <m:r>
                    <m:t>f</m:t>
                  </m:r>
                </m:e>
                <m:sub>
                  <m:r>
                    <m:t>k</m:t>
                  </m:r>
                </m:sub>
              </m:sSub>
            </m:e>
          </m:nary>
          <m:r>
            <m:t>(</m:t>
          </m:r>
          <m:sSub>
            <m:e>
              <m:r>
                <m:t>x</m:t>
              </m:r>
            </m:e>
            <m:sub>
              <m:r>
                <m:t>i</m:t>
              </m:r>
            </m:sub>
          </m:sSub>
          <m:r>
            <m:t>)</m:t>
          </m:r>
        </m:oMath>
      </m:oMathPara>
    </w:p>
    <w:p>
      <w:pPr>
        <w:numPr>
          <w:ilvl w:val="0"/>
          <w:numId w:val="1004"/>
        </w:numPr>
      </w:pPr>
      <w:r>
        <w:t xml:space="preserve">Where</w:t>
      </w:r>
      <w:r>
        <w:t xml:space="preserve"> </w:t>
      </w:r>
      <m:oMath>
        <m:sSub>
          <m:e>
            <m:r>
              <m:t>f</m:t>
            </m:r>
          </m:e>
          <m:sub>
            <m:r>
              <m:t>k</m:t>
            </m:r>
          </m:sub>
        </m:sSub>
      </m:oMath>
      <w:r>
        <w:t xml:space="preserve"> </w:t>
      </w:r>
      <w:r>
        <w:t xml:space="preserve">represents the</w:t>
      </w:r>
      <w:r>
        <w:t xml:space="preserve"> </w:t>
      </w:r>
      <m:oMath>
        <m:r>
          <m:t>k</m:t>
        </m:r>
      </m:oMath>
      <w:r>
        <w:t xml:space="preserve">-th tree in the ensemble model.</w:t>
      </w:r>
    </w:p>
    <w:p>
      <w:pPr>
        <w:numPr>
          <w:ilvl w:val="0"/>
          <w:numId w:val="1004"/>
        </w:numPr>
      </w:pPr>
      <w:r>
        <w:rPr>
          <w:b/>
        </w:rPr>
        <w:t xml:space="preserve">Explainability Agent:</w:t>
      </w:r>
      <w:r>
        <w:t xml:space="preserve"> </w:t>
      </w:r>
      <w:r>
        <w:t xml:space="preserve">To address the</w:t>
      </w:r>
      <w:r>
        <w:t xml:space="preserve"> </w:t>
      </w:r>
      <w:r>
        <w:t xml:space="preserve">“</w:t>
      </w:r>
      <w:r>
        <w:t xml:space="preserve">Integration Gap</w:t>
      </w:r>
      <w:r>
        <w:t xml:space="preserve">”</w:t>
      </w:r>
      <w:r>
        <w:t xml:space="preserve"> </w:t>
      </w:r>
      <w:r>
        <w:t xml:space="preserve">regarding trust, the system uses SHAP (SHapley Additive exPlanations) values to generate user-facing explanations. As Pathi (Pathi, 2025) demonstrates, providing reasons for credit decisions (e.g.,</w:t>
      </w:r>
      <w:r>
        <w:t xml:space="preserve"> </w:t>
      </w:r>
      <w:r>
        <w:t xml:space="preserve">“</w:t>
      </w:r>
      <w:r>
        <w:t xml:space="preserve">Your debt-to-income ratio is slightly high</w:t>
      </w:r>
      <w:r>
        <w:t xml:space="preserve">”</w:t>
      </w:r>
      <w:r>
        <w:t xml:space="preserve">) can improve transparency. In the proposed experiment, these explanations are dynamically presented to users in Group C to test if transparency increases completion rates.</w:t>
      </w:r>
    </w:p>
    <w:p>
      <w:pPr>
        <w:numPr>
          <w:ilvl w:val="0"/>
          <w:numId w:val="1004"/>
        </w:numPr>
      </w:pPr>
      <w:r>
        <w:rPr>
          <w:b/>
        </w:rPr>
        <w:t xml:space="preserve">Fraud Detection Layer:</w:t>
      </w:r>
      <w:r>
        <w:t xml:space="preserve"> </w:t>
      </w:r>
      <w:r>
        <w:t xml:space="preserve">Before any personalization logic runs, a fraud detection layer must filter out malicious bots. Sam et al. (Sam et al., 2025) compare traditional and automated ML models for credit card fraud, suggesting that automated feature engineering can significantly improve detection rates. This layer ensures that the experiment’s data is not contaminated by non-human traffic.</w:t>
      </w:r>
    </w:p>
    <w:p>
      <w:pPr>
        <w:pStyle w:val="Heading3"/>
      </w:pPr>
      <w:bookmarkStart w:id="65" w:name="security-and-compliance-framework"/>
      <w:r>
        <w:t xml:space="preserve">2.2.3.3 Security and Compliance Framework</w:t>
      </w:r>
      <w:bookmarkEnd w:id="65"/>
    </w:p>
    <w:p>
      <w:pPr>
        <w:pStyle w:val="FirstParagraph"/>
      </w:pPr>
      <w:r>
        <w:t xml:space="preserve">Given the sensitive nature of financial data, the methodology must adhere to strict regulatory standards. The</w:t>
      </w:r>
      <w:r>
        <w:t xml:space="preserve"> </w:t>
      </w:r>
      <w:r>
        <w:t xml:space="preserve">“</w:t>
      </w:r>
      <w:r>
        <w:t xml:space="preserve">Know Your Customer</w:t>
      </w:r>
      <w:r>
        <w:t xml:space="preserve">”</w:t>
      </w:r>
      <w:r>
        <w:t xml:space="preserve"> </w:t>
      </w:r>
      <w:r>
        <w:t xml:space="preserve">(KYC) process is a legal requirement that can often introduce friction in the UX. Zentoni et al. (Zentoni et al., 2025) discuss KYC models as strategic frameworks for preventing financial abuse. The proposed experiment integrates a streamlined KYC process that balances security with usability.</w:t>
      </w:r>
    </w:p>
    <w:p>
      <w:pPr>
        <w:pStyle w:val="BodyText"/>
      </w:pPr>
      <w:r>
        <w:t xml:space="preserve">Additionally, to comply with PSD2 regulations regarding Secure Customer Authentication (SCA), the application flow incorporates multi-factor authentication steps. Sacaleanu and Tak (Sacaleanu &amp; Tak, 2020) argue that while SCA ensures security, it can negatively impact customer experience if not implemented thoughtfully. The experiment controls for this by keeping the authentication steps constant across all three groups, isolating the variable of</w:t>
      </w:r>
      <w:r>
        <w:t xml:space="preserve"> </w:t>
      </w:r>
      <w:r>
        <w:rPr>
          <w:i/>
        </w:rPr>
        <w:t xml:space="preserve">personalization options</w:t>
      </w:r>
      <w:r>
        <w:t xml:space="preserve"> </w:t>
      </w:r>
      <w:r>
        <w:t xml:space="preserve">rather than security friction.</w:t>
      </w:r>
    </w:p>
    <w:p>
      <w:pPr>
        <w:pStyle w:val="BodyText"/>
      </w:pPr>
      <w:r>
        <w:t xml:space="preserve">For data integrity, Osborne (Osborne, 2021) suggests the potential of blockchain and smart contracts for immutable KYC records. While full blockchain implementation may be beyond the scope of a standard A/B test, the conceptual framework of immutable audit logs is adopted to ensure that user consent and data handling comply with GDPR and local financial regulations.</w:t>
      </w:r>
    </w:p>
    <w:p>
      <w:pPr>
        <w:pStyle w:val="Heading2"/>
      </w:pPr>
      <w:bookmarkStart w:id="66" w:name="data-collection-and-analysis-procedures"/>
      <w:r>
        <w:t xml:space="preserve">2.2.4 Data Collection and Analysis Procedures</w:t>
      </w:r>
      <w:bookmarkEnd w:id="66"/>
    </w:p>
    <w:p>
      <w:pPr>
        <w:pStyle w:val="FirstParagraph"/>
      </w:pPr>
      <w:r>
        <w:t xml:space="preserve">The data collection strategy involves capturing high-dimensional clickstream data alongside application form inputs. This allows for a granular analysis of user behavior beyond simple submission rates.</w:t>
      </w:r>
    </w:p>
    <w:p>
      <w:pPr>
        <w:pStyle w:val="Heading3"/>
      </w:pPr>
      <w:bookmarkStart w:id="67" w:name="metrics-and-measurement"/>
      <w:r>
        <w:t xml:space="preserve">2.2.4.1 Metrics and Measurement</w:t>
      </w:r>
      <w:bookmarkEnd w:id="67"/>
    </w:p>
    <w:p>
      <w:pPr>
        <w:pStyle w:val="FirstParagraph"/>
      </w:pPr>
      <w:r>
        <w:t xml:space="preserve">Table 2 outlines the key metrics proposed for the study, categorized by the phase of the user journey they measure.</w:t>
      </w:r>
    </w:p>
    <w:tbl>
      <w:tblPr>
        <w:tblStyle w:val="Table"/>
        <w:tblW w:type="pct" w:w="5000"/>
        <w:tblLook w:firstRow="1"/>
        <w:tblLayout w:type="autofit"/>
      </w:tblPr>
      <w:tblGrid>
        <w:gridCol w:w="2171"/>
        <w:gridCol w:w="2171"/>
        <w:gridCol w:w="2554"/>
        <w:gridCol w:w="1021"/>
      </w:tblGrid>
      <w:tr>
        <w:trPr>
          <w:cnfStyle w:firstRow="1"/>
        </w:trPr>
        <w:tc>
          <w:tcPr>
            <w:tcBorders>
              <w:bottom w:val="single"/>
            </w:tcBorders>
            <w:vAlign w:val="bottom"/>
            <w:noWrap/>
          </w:tcPr>
          <w:p>
            <w:pPr>
              <w:pStyle w:val="Compact"/>
              <w:spacing w:before="40" w:after="40"/>
              <w:jc w:val="left"/>
            </w:pPr>
            <w:r>
              <w:rPr>
                <w:sz w:val="18"/>
              </w:rPr>
              <w:t xml:space="preserve">Metric Category</w:t>
            </w:r>
          </w:p>
        </w:tc>
        <w:tc>
          <w:tcPr>
            <w:tcBorders>
              <w:bottom w:val="single"/>
            </w:tcBorders>
            <w:vAlign w:val="bottom"/>
          </w:tcPr>
          <w:p>
            <w:pPr>
              <w:pStyle w:val="Compact"/>
              <w:spacing w:before="40" w:after="40"/>
              <w:jc w:val="left"/>
            </w:pPr>
            <w:r>
              <w:rPr>
                <w:sz w:val="18"/>
              </w:rPr>
              <w:t xml:space="preserve">Specific Metric</w:t>
            </w:r>
          </w:p>
        </w:tc>
        <w:tc>
          <w:tcPr>
            <w:tcBorders>
              <w:bottom w:val="single"/>
            </w:tcBorders>
            <w:vAlign w:val="bottom"/>
          </w:tcPr>
          <w:p>
            <w:pPr>
              <w:pStyle w:val="Compact"/>
              <w:spacing w:before="40" w:after="40"/>
              <w:jc w:val="left"/>
            </w:pPr>
            <w:r>
              <w:rPr>
                <w:sz w:val="18"/>
              </w:rPr>
              <w:t xml:space="preserve">Definition/Formula</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sz w:val="18"/>
              </w:rPr>
              <w:t xml:space="preserve">Acquisition</w:t>
            </w:r>
          </w:p>
        </w:tc>
        <w:tc>
          <w:tcPr/>
          <w:p>
            <w:pPr>
              <w:pStyle w:val="Compact"/>
              <w:spacing w:before="40" w:after="40"/>
              <w:jc w:val="left"/>
            </w:pPr>
            <w:r>
              <w:rPr>
                <w:sz w:val="18"/>
              </w:rPr>
              <w:t xml:space="preserve">Form Completion Rate</w:t>
            </w:r>
          </w:p>
        </w:tc>
        <w:tc>
          <w:tcPr/>
          <w:p>
            <w:pPr>
              <w:pStyle w:val="Compact"/>
              <w:spacing w:before="40" w:after="40"/>
              <w:jc w:val="left"/>
            </w:pPr>
            <w:r>
              <w:rPr>
                <w:sz w:val="18"/>
              </w:rPr>
              <w:t xml:space="preserve">Submissions / Visits</w:t>
            </w:r>
          </w:p>
        </w:tc>
        <w:tc>
          <w:tcPr/>
          <w:p>
            <w:pPr>
              <w:pStyle w:val="Compact"/>
              <w:spacing w:before="40" w:after="40"/>
              <w:jc w:val="left"/>
            </w:pPr>
            <w:r>
              <w:rPr>
                <w:sz w:val="18"/>
              </w:rPr>
              <w:t xml:space="preserve">(Goldstein &amp; Hajaj, 2022)</w:t>
            </w:r>
          </w:p>
        </w:tc>
      </w:tr>
      <w:tr>
        <w:tc>
          <w:tcPr>
            <w:noWrap/>
          </w:tcPr>
          <w:p>
            <w:pPr>
              <w:pStyle w:val="Compact"/>
              <w:spacing w:before="40" w:after="40"/>
              <w:jc w:val="left"/>
            </w:pPr>
            <w:r>
              <w:rPr>
                <w:sz w:val="18"/>
              </w:rPr>
              <w:t xml:space="preserve">Engagement</w:t>
            </w:r>
          </w:p>
        </w:tc>
        <w:tc>
          <w:tcPr/>
          <w:p>
            <w:pPr>
              <w:pStyle w:val="Compact"/>
              <w:spacing w:before="40" w:after="40"/>
              <w:jc w:val="left"/>
            </w:pPr>
            <w:r>
              <w:rPr>
                <w:sz w:val="18"/>
              </w:rPr>
              <w:t xml:space="preserve">Time on Page</w:t>
            </w:r>
          </w:p>
        </w:tc>
        <w:tc>
          <w:tcPr/>
          <w:p>
            <w:pPr>
              <w:pStyle w:val="Compact"/>
              <w:spacing w:before="40" w:after="40"/>
              <w:jc w:val="left"/>
            </w:pPr>
            <w:r>
              <w:rPr>
                <w:sz w:val="18"/>
              </w:rPr>
              <w:t xml:space="preserve">Duration of active session</w:t>
            </w:r>
          </w:p>
        </w:tc>
        <w:tc>
          <w:tcPr/>
          <w:p>
            <w:pPr>
              <w:pStyle w:val="Compact"/>
              <w:spacing w:before="40" w:after="40"/>
              <w:jc w:val="left"/>
            </w:pPr>
            <w:r>
              <w:rPr>
                <w:sz w:val="18"/>
              </w:rPr>
              <w:t xml:space="preserve">(Gada, 2024)</w:t>
            </w:r>
          </w:p>
        </w:tc>
      </w:tr>
      <w:tr>
        <w:tc>
          <w:tcPr>
            <w:noWrap/>
          </w:tcPr>
          <w:p>
            <w:pPr>
              <w:pStyle w:val="Compact"/>
              <w:spacing w:before="40" w:after="40"/>
              <w:jc w:val="left"/>
            </w:pPr>
            <w:r>
              <w:rPr>
                <w:sz w:val="18"/>
              </w:rPr>
              <w:t xml:space="preserve">Risk</w:t>
            </w:r>
          </w:p>
        </w:tc>
        <w:tc>
          <w:tcPr/>
          <w:p>
            <w:pPr>
              <w:pStyle w:val="Compact"/>
              <w:spacing w:before="40" w:after="40"/>
              <w:jc w:val="left"/>
            </w:pPr>
            <w:r>
              <w:rPr>
                <w:sz w:val="18"/>
              </w:rPr>
              <w:t xml:space="preserve">Predicted Default Rate</w:t>
            </w:r>
          </w:p>
        </w:tc>
        <w:tc>
          <w:tcPr/>
          <w:p>
            <w:pPr>
              <w:pStyle w:val="Compact"/>
              <w:spacing w:before="40" w:after="40"/>
              <w:jc w:val="left"/>
            </w:pPr>
            <w:r>
              <w:rPr>
                <w:sz w:val="18"/>
              </w:rPr>
              <w:t xml:space="preserve">Mean prob. Of default (Model)</w:t>
            </w:r>
          </w:p>
        </w:tc>
        <w:tc>
          <w:tcPr/>
          <w:p>
            <w:pPr>
              <w:pStyle w:val="Compact"/>
              <w:spacing w:before="40" w:after="40"/>
              <w:jc w:val="left"/>
            </w:pPr>
            <w:r>
              <w:rPr>
                <w:sz w:val="18"/>
              </w:rPr>
              <w:t xml:space="preserve">(Pathi, 2025)</w:t>
            </w:r>
          </w:p>
        </w:tc>
      </w:tr>
      <w:tr>
        <w:tc>
          <w:tcPr>
            <w:noWrap/>
          </w:tcPr>
          <w:p>
            <w:pPr>
              <w:pStyle w:val="Compact"/>
              <w:spacing w:before="40" w:after="40"/>
              <w:jc w:val="left"/>
            </w:pPr>
            <w:r>
              <w:rPr>
                <w:sz w:val="18"/>
              </w:rPr>
              <w:t xml:space="preserve">Trust</w:t>
            </w:r>
          </w:p>
        </w:tc>
        <w:tc>
          <w:tcPr/>
          <w:p>
            <w:pPr>
              <w:pStyle w:val="Compact"/>
              <w:spacing w:before="40" w:after="40"/>
              <w:jc w:val="left"/>
            </w:pPr>
            <w:r>
              <w:rPr>
                <w:sz w:val="18"/>
              </w:rPr>
              <w:t xml:space="preserve">Explanation Interaction</w:t>
            </w:r>
          </w:p>
        </w:tc>
        <w:tc>
          <w:tcPr/>
          <w:p>
            <w:pPr>
              <w:pStyle w:val="Compact"/>
              <w:spacing w:before="40" w:after="40"/>
              <w:jc w:val="left"/>
            </w:pPr>
            <w:r>
              <w:rPr>
                <w:sz w:val="18"/>
              </w:rPr>
              <w:t xml:space="preserve">Clicks on</w:t>
            </w:r>
            <w:r>
              <w:rPr>
                <w:sz w:val="18"/>
              </w:rPr>
              <w:t xml:space="preserve"> </w:t>
            </w:r>
            <w:r>
              <w:rPr>
                <w:sz w:val="18"/>
              </w:rPr>
              <w:t xml:space="preserve">“</w:t>
            </w:r>
            <w:r>
              <w:rPr>
                <w:sz w:val="18"/>
              </w:rPr>
              <w:t xml:space="preserve">Why am I seeing this?</w:t>
            </w:r>
            <w:r>
              <w:rPr>
                <w:sz w:val="18"/>
              </w:rPr>
              <w:t xml:space="preserve">”</w:t>
            </w:r>
          </w:p>
        </w:tc>
        <w:tc>
          <w:tcPr/>
          <w:p>
            <w:pPr>
              <w:pStyle w:val="Compact"/>
              <w:spacing w:before="40" w:after="40"/>
              <w:jc w:val="left"/>
            </w:pPr>
            <w:r>
              <w:rPr>
                <w:sz w:val="18"/>
              </w:rPr>
              <w:t xml:space="preserve">(Pathi, 2025)</w:t>
            </w:r>
          </w:p>
        </w:tc>
      </w:tr>
      <w:tr>
        <w:tc>
          <w:tcPr>
            <w:noWrap/>
          </w:tcPr>
          <w:p>
            <w:pPr>
              <w:pStyle w:val="Compact"/>
              <w:spacing w:before="40" w:after="40"/>
              <w:jc w:val="left"/>
            </w:pPr>
            <w:r>
              <w:rPr>
                <w:sz w:val="18"/>
              </w:rPr>
              <w:t xml:space="preserve">Tech Perf.</w:t>
            </w:r>
          </w:p>
        </w:tc>
        <w:tc>
          <w:tcPr/>
          <w:p>
            <w:pPr>
              <w:pStyle w:val="Compact"/>
              <w:spacing w:before="40" w:after="40"/>
              <w:jc w:val="left"/>
            </w:pPr>
            <w:r>
              <w:rPr>
                <w:sz w:val="18"/>
              </w:rPr>
              <w:t xml:space="preserve">Latency</w:t>
            </w:r>
          </w:p>
        </w:tc>
        <w:tc>
          <w:tcPr/>
          <w:p>
            <w:pPr>
              <w:pStyle w:val="Compact"/>
              <w:spacing w:before="40" w:after="40"/>
              <w:jc w:val="left"/>
            </w:pPr>
            <w:r>
              <w:rPr>
                <w:sz w:val="18"/>
              </w:rPr>
              <w:t xml:space="preserve">Server response time (ms)</w:t>
            </w:r>
          </w:p>
        </w:tc>
        <w:tc>
          <w:tcPr/>
          <w:p>
            <w:pPr>
              <w:pStyle w:val="Compact"/>
              <w:spacing w:before="40" w:after="40"/>
              <w:jc w:val="left"/>
            </w:pPr>
            <w:r>
              <w:rPr>
                <w:sz w:val="18"/>
              </w:rPr>
              <w:t xml:space="preserve">(Litvinavicius, 2019)</w:t>
            </w:r>
          </w:p>
        </w:tc>
      </w:tr>
    </w:tbl>
    <w:p>
      <w:pPr>
        <w:pStyle w:val="BodyText"/>
      </w:pPr>
      <w:r>
        <w:rPr>
          <w:i/>
        </w:rPr>
        <w:t xml:space="preserve">Table 2: Proposed Metrics for Experimental Evaluation.</w:t>
      </w:r>
    </w:p>
    <w:p>
      <w:pPr>
        <w:pStyle w:val="BodyText"/>
      </w:pPr>
      <w:r>
        <w:rPr>
          <w:b/>
        </w:rPr>
        <w:t xml:space="preserve">Acquisition Metrics:</w:t>
      </w:r>
      <w:r>
        <w:t xml:space="preserve"> </w:t>
      </w:r>
      <w:r>
        <w:t xml:space="preserve">The primary metric for the</w:t>
      </w:r>
      <w:r>
        <w:t xml:space="preserve"> </w:t>
      </w:r>
      <w:r>
        <w:t xml:space="preserve">“</w:t>
      </w:r>
      <w:r>
        <w:t xml:space="preserve">short-term</w:t>
      </w:r>
      <w:r>
        <w:t xml:space="preserve">”</w:t>
      </w:r>
      <w:r>
        <w:t xml:space="preserve"> </w:t>
      </w:r>
      <w:r>
        <w:t xml:space="preserve">success is the conversion rate. Goldstein and Hajaj (Goldstein &amp; Hajaj, 2022) emphasize the difference between mobile and desktop funnels; thus, data will be stratified by device type to prevent confounding variables.</w:t>
      </w:r>
    </w:p>
    <w:p>
      <w:pPr>
        <w:pStyle w:val="BodyText"/>
      </w:pPr>
      <w:r>
        <w:rPr>
          <w:b/>
        </w:rPr>
        <w:t xml:space="preserve">Engagement Metrics:</w:t>
      </w:r>
      <w:r>
        <w:t xml:space="preserve"> </w:t>
      </w:r>
      <w:r>
        <w:t xml:space="preserve">Gada (Gada, 2024) highlights the importance of user engagement and retention strategies in FinTech. Time-on-page and interaction depth (e.g., adjusting sliders, clicking information tooltips) will serve as proxies for user engagement.</w:t>
      </w:r>
    </w:p>
    <w:p>
      <w:pPr>
        <w:pStyle w:val="BodyText"/>
      </w:pPr>
      <w:r>
        <w:rPr>
          <w:b/>
        </w:rPr>
        <w:t xml:space="preserve">Risk Metrics:</w:t>
      </w:r>
      <w:r>
        <w:t xml:space="preserve"> </w:t>
      </w:r>
      <w:r>
        <w:t xml:space="preserve">To assess the</w:t>
      </w:r>
      <w:r>
        <w:t xml:space="preserve"> </w:t>
      </w:r>
      <w:r>
        <w:t xml:space="preserve">“</w:t>
      </w:r>
      <w:r>
        <w:t xml:space="preserve">quality</w:t>
      </w:r>
      <w:r>
        <w:t xml:space="preserve">”</w:t>
      </w:r>
      <w:r>
        <w:t xml:space="preserve"> </w:t>
      </w:r>
      <w:r>
        <w:t xml:space="preserve">of the acquired customers, the experiment calculates the</w:t>
      </w:r>
      <w:r>
        <w:t xml:space="preserve"> </w:t>
      </w:r>
      <w:r>
        <w:rPr>
          <w:i/>
        </w:rPr>
        <w:t xml:space="preserve">Predicted Default Rate</w:t>
      </w:r>
      <w:r>
        <w:t xml:space="preserve"> </w:t>
      </w:r>
      <w:r>
        <w:t xml:space="preserve">of the successful applicants in each group. If Group C (Deep Personalization) yields a higher conversion rate but also a higher predicted default rate, the personalization strategy may be financially detrimental. This addresses the</w:t>
      </w:r>
      <w:r>
        <w:t xml:space="preserve"> </w:t>
      </w:r>
      <w:r>
        <w:t xml:space="preserve">“</w:t>
      </w:r>
      <w:r>
        <w:t xml:space="preserve">Longitudinal Personalization Impact</w:t>
      </w:r>
      <w:r>
        <w:t xml:space="preserve">”</w:t>
      </w:r>
      <w:r>
        <w:t xml:space="preserve"> </w:t>
      </w:r>
      <w:r>
        <w:t xml:space="preserve">gap.</w:t>
      </w:r>
    </w:p>
    <w:p>
      <w:pPr>
        <w:pStyle w:val="Heading3"/>
      </w:pPr>
      <w:bookmarkStart w:id="68" w:name="statistical-analysis-plan"/>
      <w:r>
        <w:t xml:space="preserve">2.2.4.2 Statistical Analysis Plan</w:t>
      </w:r>
      <w:bookmarkEnd w:id="68"/>
    </w:p>
    <w:p>
      <w:pPr>
        <w:pStyle w:val="FirstParagraph"/>
      </w:pPr>
      <w:r>
        <w:t xml:space="preserve">The analysis of the experimental data will employ both descriptive and inferential statistics.</w:t>
      </w:r>
    </w:p>
    <w:p>
      <w:pPr>
        <w:numPr>
          <w:ilvl w:val="0"/>
          <w:numId w:val="1005"/>
        </w:numPr>
      </w:pPr>
      <w:r>
        <w:rPr>
          <w:b/>
        </w:rPr>
        <w:t xml:space="preserve">Hypothesis Testing:</w:t>
      </w:r>
      <w:r>
        <w:t xml:space="preserve"> </w:t>
      </w:r>
      <w:r>
        <w:t xml:space="preserve">To compare conversion rates between groups (A, B, C), a Chi-square test of independence (</w:t>
      </w:r>
      <m:oMath>
        <m:sSup>
          <m:e>
            <m:r>
              <m:t>χ</m:t>
            </m:r>
          </m:e>
          <m:sup>
            <m:r>
              <m:t>2</m:t>
            </m:r>
          </m:sup>
        </m:sSup>
      </m:oMath>
      <w:r>
        <w:t xml:space="preserve">) will be used for categorical outcomes (Converted/Not Converted).</w:t>
      </w:r>
    </w:p>
    <w:p>
      <w:pPr>
        <w:pStyle w:val="BodyText"/>
      </w:pPr>
      <m:oMathPara>
        <m:oMathParaPr>
          <m:jc m:val="center"/>
        </m:oMathParaPr>
        <m:oMath>
          <m:sSup>
            <m:e>
              <m:r>
                <m:t>χ</m:t>
              </m:r>
            </m:e>
            <m:sup>
              <m:r>
                <m:t>2</m:t>
              </m:r>
            </m:sup>
          </m:sSup>
          <m:r>
            <m:t>=</m:t>
          </m:r>
          <m:r>
            <m:t>∑</m:t>
          </m:r>
          <m:f>
            <m:fPr>
              <m:type m:val="bar"/>
            </m:fPr>
            <m:num>
              <m:r>
                <m:t>(</m:t>
              </m:r>
              <m:sSub>
                <m:e>
                  <m:r>
                    <m:t>O</m:t>
                  </m:r>
                </m:e>
                <m:sub>
                  <m:r>
                    <m:t>i</m:t>
                  </m:r>
                </m:sub>
              </m:sSub>
              <m:r>
                <m:t>−</m:t>
              </m:r>
              <m:sSub>
                <m:e>
                  <m:r>
                    <m:t>E</m:t>
                  </m:r>
                </m:e>
                <m:sub>
                  <m:r>
                    <m:t>i</m:t>
                  </m:r>
                </m:sub>
              </m:sSub>
              <m:sSup>
                <m:e>
                  <m:r>
                    <m:t>)</m:t>
                  </m:r>
                </m:e>
                <m:sup>
                  <m:r>
                    <m:t>2</m:t>
                  </m:r>
                </m:sup>
              </m:sSup>
            </m:num>
            <m:den>
              <m:sSub>
                <m:e>
                  <m:r>
                    <m:t>E</m:t>
                  </m:r>
                </m:e>
                <m:sub>
                  <m:r>
                    <m:t>i</m:t>
                  </m:r>
                </m:sub>
              </m:sSub>
            </m:den>
          </m:f>
        </m:oMath>
      </m:oMathPara>
    </w:p>
    <w:p>
      <w:pPr>
        <w:numPr>
          <w:ilvl w:val="0"/>
          <w:numId w:val="1005"/>
        </w:numPr>
      </w:pPr>
      <w:r>
        <w:t xml:space="preserve">Where</w:t>
      </w:r>
      <w:r>
        <w:t xml:space="preserve"> </w:t>
      </w:r>
      <m:oMath>
        <m:sSub>
          <m:e>
            <m:r>
              <m:t>O</m:t>
            </m:r>
          </m:e>
          <m:sub>
            <m:r>
              <m:t>i</m:t>
            </m:r>
          </m:sub>
        </m:sSub>
      </m:oMath>
      <w:r>
        <w:t xml:space="preserve"> </w:t>
      </w:r>
      <w:r>
        <w:t xml:space="preserve">is the observed frequency and</w:t>
      </w:r>
      <w:r>
        <w:t xml:space="preserve"> </w:t>
      </w:r>
      <m:oMath>
        <m:sSub>
          <m:e>
            <m:r>
              <m:t>E</m:t>
            </m:r>
          </m:e>
          <m:sub>
            <m:r>
              <m:t>i</m:t>
            </m:r>
          </m:sub>
        </m:sSub>
      </m:oMath>
      <w:r>
        <w:t xml:space="preserve"> </w:t>
      </w:r>
      <w:r>
        <w:t xml:space="preserve">is the expected frequency.</w:t>
      </w:r>
    </w:p>
    <w:p>
      <w:pPr>
        <w:numPr>
          <w:ilvl w:val="0"/>
          <w:numId w:val="1005"/>
        </w:numPr>
      </w:pPr>
      <w:r>
        <w:rPr>
          <w:b/>
        </w:rPr>
        <w:t xml:space="preserve">Survival Analysis:</w:t>
      </w:r>
      <w:r>
        <w:t xml:space="preserve"> </w:t>
      </w:r>
      <w:r>
        <w:t xml:space="preserve">For the longitudinal aspect (time to default or time to churn), the methodology proposes using Kaplan-Meier survival estimates. Although the experiment may not run long enough to observe actual defaults for all users, survival analysis allows for the handling of censored data (users who have not yet defaulted by the end of the study).</w:t>
      </w:r>
    </w:p>
    <w:p>
      <w:pPr>
        <w:numPr>
          <w:ilvl w:val="0"/>
          <w:numId w:val="1005"/>
        </w:numPr>
      </w:pPr>
      <w:r>
        <w:rPr>
          <w:b/>
        </w:rPr>
        <w:t xml:space="preserve">Feature Importance Analysis:</w:t>
      </w:r>
      <w:r>
        <w:t xml:space="preserve"> </w:t>
      </w:r>
      <w:r>
        <w:t xml:space="preserve">To understand</w:t>
      </w:r>
      <w:r>
        <w:t xml:space="preserve"> </w:t>
      </w:r>
      <w:r>
        <w:rPr>
          <w:i/>
        </w:rPr>
        <w:t xml:space="preserve">which</w:t>
      </w:r>
      <w:r>
        <w:t xml:space="preserve"> </w:t>
      </w:r>
      <w:r>
        <w:t xml:space="preserve">personalization features drive behavior, the study will uses the SHAP value framework described by Pathi (Pathi, 2025). This allows for the decomposition of the model’s output to attribute specific conversion probabilities to specific interface elements (e.g.,</w:t>
      </w:r>
      <w:r>
        <w:t xml:space="preserve"> </w:t>
      </w:r>
      <w:r>
        <w:t xml:space="preserve">“</w:t>
      </w:r>
      <w:r>
        <w:t xml:space="preserve">Seeing the interest rate explanation increased conversion probability by 5%</w:t>
      </w:r>
      <w:r>
        <w:t xml:space="preserve">”</w:t>
      </w:r>
      <w:r>
        <w:t xml:space="preserve">).</w:t>
      </w:r>
    </w:p>
    <w:p>
      <w:pPr>
        <w:pStyle w:val="Heading2"/>
      </w:pPr>
      <w:bookmarkStart w:id="69" w:name="ethical-considerations-and-limitations"/>
      <w:r>
        <w:t xml:space="preserve">2.2.5 Ethical Considerations and Limitations</w:t>
      </w:r>
      <w:bookmarkEnd w:id="69"/>
    </w:p>
    <w:p>
      <w:pPr>
        <w:pStyle w:val="FirstParagraph"/>
      </w:pPr>
      <w:r>
        <w:t xml:space="preserve">The proposed methodology involves the manipulation of financial product presentation, which raises significant ethical considerations. Sriram (Sriram, 2025) discusses the challenges of bias and ethics in algorithmic credit decisions, noting that AI can democratize credit but also reinforce inequalities.</w:t>
      </w:r>
    </w:p>
    <w:p>
      <w:pPr>
        <w:pStyle w:val="BodyText"/>
      </w:pPr>
      <w:r>
        <w:rPr>
          <w:b/>
        </w:rPr>
        <w:t xml:space="preserve">Algorithmic Bias:</w:t>
      </w:r>
      <w:r>
        <w:t xml:space="preserve"> </w:t>
      </w:r>
      <w:r>
        <w:t xml:space="preserve">The ML model used in Group C must be audited for bias before deployment. If the training data (e.g., Lending Club data) contains historical biases against certain demographics, the personalization engine might unfairly steer these groups towards sub-optimal products. To mitigate this, the methodology incorporates</w:t>
      </w:r>
      <w:r>
        <w:t xml:space="preserve"> </w:t>
      </w:r>
      <w:r>
        <w:t xml:space="preserve">“</w:t>
      </w:r>
      <w:r>
        <w:t xml:space="preserve">Fairness Constraints</w:t>
      </w:r>
      <w:r>
        <w:t xml:space="preserve">”</w:t>
      </w:r>
      <w:r>
        <w:t xml:space="preserve"> </w:t>
      </w:r>
      <w:r>
        <w:t xml:space="preserve">in the optimization objective, ensuring equalized odds across protected attributes (gender, age).</w:t>
      </w:r>
    </w:p>
    <w:p>
      <w:pPr>
        <w:pStyle w:val="BodyText"/>
      </w:pPr>
      <w:r>
        <w:rPr>
          <w:b/>
        </w:rPr>
        <w:t xml:space="preserve">Informed Consent:</w:t>
      </w:r>
      <w:r>
        <w:t xml:space="preserve"> </w:t>
      </w:r>
      <w:r>
        <w:t xml:space="preserve">Users participating in online A/B tests are typically unaware of their participation. While standard in industry, academic ethics require a higher standard. The proposed design includes a debriefing mechanism or a terms of service update that explicitly states that</w:t>
      </w:r>
      <w:r>
        <w:t xml:space="preserve"> </w:t>
      </w:r>
      <w:r>
        <w:t xml:space="preserve">“</w:t>
      </w:r>
      <w:r>
        <w:t xml:space="preserve">interface features may vary for testing purposes,</w:t>
      </w:r>
      <w:r>
        <w:t xml:space="preserve">”</w:t>
      </w:r>
      <w:r>
        <w:t xml:space="preserve"> </w:t>
      </w:r>
      <w:r>
        <w:t xml:space="preserve">aligning with the transparency principles advocated by Kohavi and Tang (Kohavi &amp; Tang, 2020).</w:t>
      </w:r>
    </w:p>
    <w:p>
      <w:pPr>
        <w:pStyle w:val="BodyText"/>
      </w:pPr>
      <w:r>
        <w:rPr>
          <w:b/>
        </w:rPr>
        <w:t xml:space="preserve">Limitations:</w:t>
      </w:r>
      <w:r>
        <w:t xml:space="preserve"> </w:t>
      </w:r>
      <w:r>
        <w:t xml:space="preserve">1.</w:t>
      </w:r>
      <w:r>
        <w:t xml:space="preserve"> </w:t>
      </w:r>
      <w:r>
        <w:rPr>
          <w:b/>
        </w:rPr>
        <w:t xml:space="preserve">Technological Maturity:</w:t>
      </w:r>
      <w:r>
        <w:t xml:space="preserve"> </w:t>
      </w:r>
      <w:r>
        <w:t xml:space="preserve">As noted by Vaidya (Vaidya, 2022), the implementation of such a sophisticated framework requires a high level of digital banking maturity. The results may not be generalizable to smaller institutions with legacy systems.</w:t>
      </w:r>
      <w:r>
        <w:t xml:space="preserve"> </w:t>
      </w:r>
      <w:r>
        <w:t xml:space="preserve">2.</w:t>
      </w:r>
      <w:r>
        <w:t xml:space="preserve"> </w:t>
      </w:r>
      <w:r>
        <w:rPr>
          <w:b/>
        </w:rPr>
        <w:t xml:space="preserve">Short-term Proxy:</w:t>
      </w:r>
      <w:r>
        <w:t xml:space="preserve"> </w:t>
      </w:r>
      <w:r>
        <w:t xml:space="preserve">The use of</w:t>
      </w:r>
      <w:r>
        <w:t xml:space="preserve"> </w:t>
      </w:r>
      <w:r>
        <w:rPr>
          <w:i/>
        </w:rPr>
        <w:t xml:space="preserve">predicted</w:t>
      </w:r>
      <w:r>
        <w:t xml:space="preserve"> </w:t>
      </w:r>
      <w:r>
        <w:t xml:space="preserve">default rates (via ML) rather than</w:t>
      </w:r>
      <w:r>
        <w:t xml:space="preserve"> </w:t>
      </w:r>
      <w:r>
        <w:rPr>
          <w:i/>
        </w:rPr>
        <w:t xml:space="preserve">actual</w:t>
      </w:r>
      <w:r>
        <w:t xml:space="preserve"> </w:t>
      </w:r>
      <w:r>
        <w:t xml:space="preserve">default rates (which take years to materialize) is a limitation. However, given the constraints of a master’s thesis timeline, this proxy is accepted in the literature as a valid interim measure (Flores et al., 2022).</w:t>
      </w:r>
      <w:r>
        <w:t xml:space="preserve"> </w:t>
      </w:r>
      <w:r>
        <w:t xml:space="preserve">3.</w:t>
      </w:r>
      <w:r>
        <w:t xml:space="preserve"> </w:t>
      </w:r>
      <w:r>
        <w:rPr>
          <w:b/>
        </w:rPr>
        <w:t xml:space="preserve">Device Heterogeneity:</w:t>
      </w:r>
      <w:r>
        <w:t xml:space="preserve"> </w:t>
      </w:r>
      <w:r>
        <w:t xml:space="preserve">The impact of screen size on credit card application behavior is significant (Dumont, 2015). While the experiment stratifies by device, the sheer variety of Android devices and screen resolutions may introduce noise into the UX metrics.</w:t>
      </w:r>
    </w:p>
    <w:p>
      <w:pPr>
        <w:pStyle w:val="Heading2"/>
      </w:pPr>
      <w:bookmarkStart w:id="70" w:name="conclusion-of-methodology"/>
      <w:r>
        <w:t xml:space="preserve">2.2.6 Conclusion of Methodology</w:t>
      </w:r>
      <w:bookmarkEnd w:id="70"/>
    </w:p>
    <w:p>
      <w:pPr>
        <w:pStyle w:val="FirstParagraph"/>
      </w:pPr>
      <w:r>
        <w:t xml:space="preserve">This section has outlined a comprehensive methodological framework for assessing the impact of personalization in credit card applications. By synthesizing the rigorous experimental protocols of Kohavi (Kohavi &amp; Tang, 2020) with advanced ML frameworks from Pathi (Pathi, 2025) and behavioral insights from Frydman and Camerer (Frydman &amp; Camerer, 2016), the proposed design is well-positioned to answer the research questions. The use of a longitudinal online controlled experiment addresses the critical need to measure not just</w:t>
      </w:r>
      <w:r>
        <w:t xml:space="preserve"> </w:t>
      </w:r>
      <w:r>
        <w:rPr>
          <w:i/>
        </w:rPr>
        <w:t xml:space="preserve">acquisition</w:t>
      </w:r>
      <w:r>
        <w:t xml:space="preserve"> </w:t>
      </w:r>
      <w:r>
        <w:t xml:space="preserve">(conversion), but</w:t>
      </w:r>
      <w:r>
        <w:t xml:space="preserve"> </w:t>
      </w:r>
      <w:r>
        <w:rPr>
          <w:i/>
        </w:rPr>
        <w:t xml:space="preserve">quality of acquisition</w:t>
      </w:r>
      <w:r>
        <w:t xml:space="preserve"> </w:t>
      </w:r>
      <w:r>
        <w:t xml:space="preserve">(risk), thereby filling the identified gap in the literature. The subsequent sections will detail the expected analysis and results derived from this experimental setup.</w:t>
      </w:r>
    </w:p>
    <w:p>
      <w:pPr>
        <w:pStyle w:val="Heading1"/>
      </w:pPr>
      <w:bookmarkStart w:id="71" w:name="analysis-and-results"/>
      <w:r>
        <w:t xml:space="preserve">2.3 Analysis and Results</w:t>
      </w:r>
      <w:bookmarkEnd w:id="71"/>
    </w:p>
    <w:p>
      <w:pPr>
        <w:pStyle w:val="FirstParagraph"/>
      </w:pPr>
      <w:r>
        <w:t xml:space="preserve">This section presents a comprehensive analysis of the findings derived from the systematic examination of the literature and comparable empirical studies regarding personalization in digital banking, credit risk assessment, and user experience (UX) design. While the methodological framework proposed in Section 2.2 outlines a longitudinal online controlled experiment, the analysis herein synthesizes quantitative and qualitative data from existing high-impact studies to establish the evidentiary basis for the research hypotheses. The results are categorized into three primary analytical domains: (1) the quantitative impact of personalization and device heterogeneity on conversion rates; (2) the performance metrics of machine learning (ML) models in credit risk and fraud detection; and (3) the structural analysis of digital banking maturity as a prerequisite for implementation.</w:t>
      </w:r>
    </w:p>
    <w:p>
      <w:pPr>
        <w:pStyle w:val="Heading2"/>
      </w:pPr>
      <w:bookmarkStart w:id="72" w:name="X1d9636660b06d9e047baae33955e5c02e2ab5be"/>
      <w:r>
        <w:t xml:space="preserve">2.3.1 Impact of Personalization and Device Heterogeneity on User Engagement</w:t>
      </w:r>
      <w:bookmarkEnd w:id="72"/>
    </w:p>
    <w:p>
      <w:pPr>
        <w:pStyle w:val="FirstParagraph"/>
      </w:pPr>
      <w:r>
        <w:t xml:space="preserve">The analysis of user engagement data reveals distinct patterns in how personalization options and device characteristics influence the</w:t>
      </w:r>
      <w:r>
        <w:t xml:space="preserve"> </w:t>
      </w:r>
      <w:r>
        <w:t xml:space="preserve">“</w:t>
      </w:r>
      <w:r>
        <w:t xml:space="preserve">conversion funnel</w:t>
      </w:r>
      <w:r>
        <w:t xml:space="preserve">”</w:t>
      </w:r>
      <w:r>
        <w:t xml:space="preserve"> </w:t>
      </w:r>
      <w:r>
        <w:t xml:space="preserve">in financial applications. Evidence from the literature suggests that the relationship between personalization and conversion is non-linear and highly dependent on the interface constraints, particularly screen size.</w:t>
      </w:r>
    </w:p>
    <w:p>
      <w:pPr>
        <w:pStyle w:val="Heading3"/>
      </w:pPr>
      <w:bookmarkStart w:id="73" w:name="the-personalization-as-currency-dynamic"/>
      <w:r>
        <w:t xml:space="preserve">2.3.1.1 The</w:t>
      </w:r>
      <w:r>
        <w:t xml:space="preserve"> </w:t>
      </w:r>
      <w:r>
        <w:t xml:space="preserve">“</w:t>
      </w:r>
      <w:r>
        <w:t xml:space="preserve">Personalization as Currency</w:t>
      </w:r>
      <w:r>
        <w:t xml:space="preserve">”</w:t>
      </w:r>
      <w:r>
        <w:t xml:space="preserve"> </w:t>
      </w:r>
      <w:r>
        <w:t xml:space="preserve">Dynamic</w:t>
      </w:r>
      <w:bookmarkEnd w:id="73"/>
    </w:p>
    <w:p>
      <w:pPr>
        <w:pStyle w:val="FirstParagraph"/>
      </w:pPr>
      <w:r>
        <w:t xml:space="preserve">Ridgway (Ridgway, 2015) conceptualizes personalization not merely as a feature but as a form of</w:t>
      </w:r>
      <w:r>
        <w:t xml:space="preserve"> </w:t>
      </w:r>
      <w:r>
        <w:t xml:space="preserve">“</w:t>
      </w:r>
      <w:r>
        <w:t xml:space="preserve">currency</w:t>
      </w:r>
      <w:r>
        <w:t xml:space="preserve">”</w:t>
      </w:r>
      <w:r>
        <w:t xml:space="preserve"> </w:t>
      </w:r>
      <w:r>
        <w:t xml:space="preserve">in the digital economy (cybercapitalism). The analysis of this paradigm suggests that users implicitly trade personal data for enhanced service relevance. However, the</w:t>
      </w:r>
      <w:r>
        <w:t xml:space="preserve"> </w:t>
      </w:r>
      <w:r>
        <w:t xml:space="preserve">“</w:t>
      </w:r>
      <w:r>
        <w:t xml:space="preserve">exchange rate</w:t>
      </w:r>
      <w:r>
        <w:t xml:space="preserve">”</w:t>
      </w:r>
      <w:r>
        <w:t xml:space="preserve"> </w:t>
      </w:r>
      <w:r>
        <w:t xml:space="preserve">of this currency fluctuates based on perceived value and trust.</w:t>
      </w:r>
    </w:p>
    <w:p>
      <w:pPr>
        <w:pStyle w:val="BodyText"/>
      </w:pPr>
      <w:r>
        <w:t xml:space="preserve">In the context of credit card applications, the analysis indicates that excessive personalization requests early in the funnel can lead to abandonment. However, when personalization is framed as a value-add (e.g., tailoring credit limits or rewards), engagement increases. This aligns with the findings of Huang et al. (Huang et al., 2025), who observed in the context of short-video platforms that personalization serves as a critical driver of engagement, a mechanic that translates to the fintech sector where</w:t>
      </w:r>
      <w:r>
        <w:t xml:space="preserve"> </w:t>
      </w:r>
      <w:r>
        <w:t xml:space="preserve">“</w:t>
      </w:r>
      <w:r>
        <w:t xml:space="preserve">stickiness</w:t>
      </w:r>
      <w:r>
        <w:t xml:space="preserve">”</w:t>
      </w:r>
      <w:r>
        <w:t xml:space="preserve"> </w:t>
      </w:r>
      <w:r>
        <w:t xml:space="preserve">is a precursor to conversion.</w:t>
      </w:r>
    </w:p>
    <w:p>
      <w:pPr>
        <w:pStyle w:val="Heading3"/>
      </w:pPr>
      <w:bookmarkStart w:id="74" w:name="device-specific-conversion-metrics"/>
      <w:r>
        <w:t xml:space="preserve">2.3.1.2 Device-Specific Conversion Metrics</w:t>
      </w:r>
      <w:bookmarkEnd w:id="74"/>
    </w:p>
    <w:p>
      <w:pPr>
        <w:pStyle w:val="FirstParagraph"/>
      </w:pPr>
      <w:r>
        <w:t xml:space="preserve">A critical finding from the analysis of Goldstein and Hajaj (Goldstein &amp; Hajaj, 2022) is the existence of a</w:t>
      </w:r>
      <w:r>
        <w:t xml:space="preserve"> </w:t>
      </w:r>
      <w:r>
        <w:t xml:space="preserve">“</w:t>
      </w:r>
      <w:r>
        <w:t xml:space="preserve">hidden conversion funnel</w:t>
      </w:r>
      <w:r>
        <w:t xml:space="preserve">”</w:t>
      </w:r>
      <w:r>
        <w:t xml:space="preserve"> </w:t>
      </w:r>
      <w:r>
        <w:t xml:space="preserve">that differs significantly between mobile and desktop users. Their data indicates that mobile users exhibit distinct behavioral patterns that are often masked in aggregate analytics.</w:t>
      </w:r>
    </w:p>
    <w:p>
      <w:pPr>
        <w:pStyle w:val="BodyText"/>
      </w:pPr>
      <w:r>
        <w:rPr>
          <w:b/>
        </w:rPr>
        <w:t xml:space="preserve">Table 1: Comparison of Mobile vs. Desktop Interaction Patterns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Metric</w:t>
            </w:r>
          </w:p>
        </w:tc>
        <w:tc>
          <w:tcPr>
            <w:tcBorders>
              <w:bottom w:val="single"/>
            </w:tcBorders>
            <w:vAlign w:val="bottom"/>
          </w:tcPr>
          <w:p>
            <w:pPr>
              <w:pStyle w:val="Compact"/>
              <w:spacing w:before="40" w:after="40"/>
              <w:jc w:val="left"/>
            </w:pPr>
            <w:r>
              <w:rPr>
                <w:sz w:val="18"/>
              </w:rPr>
              <w:t xml:space="preserve">Desktop Behavior</w:t>
            </w:r>
          </w:p>
        </w:tc>
        <w:tc>
          <w:tcPr>
            <w:tcBorders>
              <w:bottom w:val="single"/>
            </w:tcBorders>
            <w:vAlign w:val="bottom"/>
          </w:tcPr>
          <w:p>
            <w:pPr>
              <w:pStyle w:val="Compact"/>
              <w:spacing w:before="40" w:after="40"/>
              <w:jc w:val="left"/>
            </w:pPr>
            <w:r>
              <w:rPr>
                <w:sz w:val="18"/>
              </w:rPr>
              <w:t xml:space="preserve">Mobile Behavior</w:t>
            </w:r>
          </w:p>
        </w:tc>
        <w:tc>
          <w:tcPr>
            <w:tcBorders>
              <w:bottom w:val="single"/>
            </w:tcBorders>
            <w:vAlign w:val="bottom"/>
          </w:tcPr>
          <w:p>
            <w:pPr>
              <w:pStyle w:val="Compact"/>
              <w:spacing w:before="40" w:after="40"/>
              <w:jc w:val="left"/>
            </w:pPr>
            <w:r>
              <w:rPr>
                <w:sz w:val="18"/>
              </w:rPr>
              <w:t xml:space="preserve">Implications for Design</w:t>
            </w:r>
          </w:p>
        </w:tc>
      </w:tr>
      <w:tr>
        <w:tc>
          <w:tcPr>
            <w:noWrap/>
          </w:tcPr>
          <w:p>
            <w:pPr>
              <w:pStyle w:val="Compact"/>
              <w:spacing w:before="40" w:after="40"/>
              <w:jc w:val="left"/>
            </w:pPr>
            <w:r>
              <w:rPr>
                <w:sz w:val="18"/>
              </w:rPr>
              <w:t xml:space="preserve">Session Length</w:t>
            </w:r>
          </w:p>
        </w:tc>
        <w:tc>
          <w:tcPr/>
          <w:p>
            <w:pPr>
              <w:pStyle w:val="Compact"/>
              <w:spacing w:before="40" w:after="40"/>
              <w:jc w:val="left"/>
            </w:pPr>
            <w:r>
              <w:rPr>
                <w:sz w:val="18"/>
              </w:rPr>
              <w:t xml:space="preserve">Longer, exploratory</w:t>
            </w:r>
          </w:p>
        </w:tc>
        <w:tc>
          <w:tcPr/>
          <w:p>
            <w:pPr>
              <w:pStyle w:val="Compact"/>
              <w:spacing w:before="40" w:after="40"/>
              <w:jc w:val="left"/>
            </w:pPr>
            <w:r>
              <w:rPr>
                <w:sz w:val="18"/>
              </w:rPr>
              <w:t xml:space="preserve">Short, task-oriented</w:t>
            </w:r>
          </w:p>
        </w:tc>
        <w:tc>
          <w:tcPr/>
          <w:p>
            <w:pPr>
              <w:pStyle w:val="Compact"/>
              <w:spacing w:before="40" w:after="40"/>
              <w:jc w:val="left"/>
            </w:pPr>
            <w:r>
              <w:rPr>
                <w:sz w:val="18"/>
              </w:rPr>
              <w:t xml:space="preserve">Mobile needs streamlined UI</w:t>
            </w:r>
          </w:p>
        </w:tc>
      </w:tr>
      <w:tr>
        <w:tc>
          <w:tcPr>
            <w:noWrap/>
          </w:tcPr>
          <w:p>
            <w:pPr>
              <w:pStyle w:val="Compact"/>
              <w:spacing w:before="40" w:after="40"/>
              <w:jc w:val="left"/>
            </w:pPr>
            <w:r>
              <w:rPr>
                <w:sz w:val="18"/>
              </w:rPr>
              <w:t xml:space="preserve">Input Tolerance</w:t>
            </w:r>
          </w:p>
        </w:tc>
        <w:tc>
          <w:tcPr/>
          <w:p>
            <w:pPr>
              <w:pStyle w:val="Compact"/>
              <w:spacing w:before="40" w:after="40"/>
              <w:jc w:val="left"/>
            </w:pPr>
            <w:r>
              <w:rPr>
                <w:sz w:val="18"/>
              </w:rPr>
              <w:t xml:space="preserve">High (keyboard)</w:t>
            </w:r>
          </w:p>
        </w:tc>
        <w:tc>
          <w:tcPr/>
          <w:p>
            <w:pPr>
              <w:pStyle w:val="Compact"/>
              <w:spacing w:before="40" w:after="40"/>
              <w:jc w:val="left"/>
            </w:pPr>
            <w:r>
              <w:rPr>
                <w:sz w:val="18"/>
              </w:rPr>
              <w:t xml:space="preserve">Low (touchscreen)</w:t>
            </w:r>
          </w:p>
        </w:tc>
        <w:tc>
          <w:tcPr/>
          <w:p>
            <w:pPr>
              <w:pStyle w:val="Compact"/>
              <w:spacing w:before="40" w:after="40"/>
              <w:jc w:val="left"/>
            </w:pPr>
            <w:r>
              <w:rPr>
                <w:sz w:val="18"/>
              </w:rPr>
              <w:t xml:space="preserve">Minimize form fields</w:t>
            </w:r>
          </w:p>
        </w:tc>
      </w:tr>
      <w:tr>
        <w:tc>
          <w:tcPr>
            <w:noWrap/>
          </w:tcPr>
          <w:p>
            <w:pPr>
              <w:pStyle w:val="Compact"/>
              <w:spacing w:before="40" w:after="40"/>
              <w:jc w:val="left"/>
            </w:pPr>
            <w:r>
              <w:rPr>
                <w:sz w:val="18"/>
              </w:rPr>
              <w:t xml:space="preserve">Decision Speed</w:t>
            </w:r>
          </w:p>
        </w:tc>
        <w:tc>
          <w:tcPr/>
          <w:p>
            <w:pPr>
              <w:pStyle w:val="Compact"/>
              <w:spacing w:before="40" w:after="40"/>
              <w:jc w:val="left"/>
            </w:pPr>
            <w:r>
              <w:rPr>
                <w:sz w:val="18"/>
              </w:rPr>
              <w:t xml:space="preserve">Deliberative</w:t>
            </w:r>
          </w:p>
        </w:tc>
        <w:tc>
          <w:tcPr/>
          <w:p>
            <w:pPr>
              <w:pStyle w:val="Compact"/>
              <w:spacing w:before="40" w:after="40"/>
              <w:jc w:val="left"/>
            </w:pPr>
            <w:r>
              <w:rPr>
                <w:sz w:val="18"/>
              </w:rPr>
              <w:t xml:space="preserve">Rapid/Impulsive</w:t>
            </w:r>
          </w:p>
        </w:tc>
        <w:tc>
          <w:tcPr/>
          <w:p>
            <w:pPr>
              <w:pStyle w:val="Compact"/>
              <w:spacing w:before="40" w:after="40"/>
              <w:jc w:val="left"/>
            </w:pPr>
            <w:r>
              <w:rPr>
                <w:sz w:val="18"/>
              </w:rPr>
              <w:t xml:space="preserve">Real-time validation needed</w:t>
            </w:r>
          </w:p>
        </w:tc>
      </w:tr>
      <w:tr>
        <w:tc>
          <w:tcPr>
            <w:noWrap/>
          </w:tcPr>
          <w:p>
            <w:pPr>
              <w:pStyle w:val="Compact"/>
              <w:spacing w:before="40" w:after="40"/>
              <w:jc w:val="left"/>
            </w:pPr>
            <w:r>
              <w:rPr>
                <w:sz w:val="18"/>
              </w:rPr>
              <w:t xml:space="preserve">Abandonment</w:t>
            </w:r>
          </w:p>
        </w:tc>
        <w:tc>
          <w:tcPr/>
          <w:p>
            <w:pPr>
              <w:pStyle w:val="Compact"/>
              <w:spacing w:before="40" w:after="40"/>
              <w:jc w:val="left"/>
            </w:pPr>
            <w:r>
              <w:rPr>
                <w:sz w:val="18"/>
              </w:rPr>
              <w:t xml:space="preserve">Lower at checkout</w:t>
            </w:r>
          </w:p>
        </w:tc>
        <w:tc>
          <w:tcPr/>
          <w:p>
            <w:pPr>
              <w:pStyle w:val="Compact"/>
              <w:spacing w:before="40" w:after="40"/>
              <w:jc w:val="left"/>
            </w:pPr>
            <w:r>
              <w:rPr>
                <w:sz w:val="18"/>
              </w:rPr>
              <w:t xml:space="preserve">Higher at data entry</w:t>
            </w:r>
          </w:p>
        </w:tc>
        <w:tc>
          <w:tcPr/>
          <w:p>
            <w:pPr>
              <w:pStyle w:val="Compact"/>
              <w:spacing w:before="40" w:after="40"/>
              <w:jc w:val="left"/>
            </w:pPr>
            <w:r>
              <w:rPr>
                <w:sz w:val="18"/>
              </w:rPr>
              <w:t xml:space="preserve">Auto-fill is critical</w:t>
            </w:r>
          </w:p>
        </w:tc>
      </w:tr>
    </w:tbl>
    <w:p>
      <w:pPr>
        <w:pStyle w:val="BodyText"/>
      </w:pPr>
      <w:r>
        <w:rPr>
          <w:i/>
        </w:rPr>
        <w:t xml:space="preserve">Source: Adapted from findings by Goldstein and Hajaj (Goldstein &amp; Hajaj, 2022) and Dumont (Dumont, 2015).</w:t>
      </w:r>
    </w:p>
    <w:p>
      <w:pPr>
        <w:pStyle w:val="BodyText"/>
      </w:pPr>
      <w:r>
        <w:t xml:space="preserve">The data suggests that the friction costs of data entry on mobile devices are significantly higher than on desktops. Dumont (Dumont, 2015) provides empirical evidence on the impact of screen size on stated choice behavior. The analysis shows that as screen real estate decreases, the cognitive load of processing complex financial terms increases, leading to a higher reliance on heuristics rather than detailed analysis of terms. This finding is important for the proposed experiment, as it suggests that personalization options presented on mobile devices must be radically simplified compared to their desktop counterparts to avoid decision paralysis.</w:t>
      </w:r>
    </w:p>
    <w:p>
      <w:pPr>
        <w:pStyle w:val="Heading3"/>
      </w:pPr>
      <w:bookmarkStart w:id="75" w:name="client-side-personalization-and-latency"/>
      <w:r>
        <w:t xml:space="preserve">2.3.1.3 Client-Side Personalization and Latency</w:t>
      </w:r>
      <w:bookmarkEnd w:id="75"/>
    </w:p>
    <w:p>
      <w:pPr>
        <w:pStyle w:val="FirstParagraph"/>
      </w:pPr>
      <w:r>
        <w:t xml:space="preserve">The technical analysis of personalization mechanisms reveals a trade-off between relevance and performance. Asif and Krogstie (Asif &amp; Krogstie, 2013) highlight the efficacy of mobile client-side personalization. Unlike server-side rendering, which can introduce latency, client-side approaches allow for immediate adaptation of the interface based on user interactions.</w:t>
      </w:r>
    </w:p>
    <w:p>
      <w:pPr>
        <w:pStyle w:val="BodyText"/>
      </w:pPr>
      <w:r>
        <w:t xml:space="preserve">However, the implementation of such features must be balanced against security concerns. Dora and Hluchý (Dora &amp; Hluchý, 2025) analyze the risks of client-side code execution, specifically HTML smuggling attacks. Their findings indicate that while client-side scripts enhance UX by reducing page loads, they expand the attack surface. In the context of a credit card application, where sensitive PII (Personally Identifiable Information) is processed, the analysis suggests that a hybrid approach–where UI adaptation is client-side but logic validation is server-side–yields the optimal balance between performance (UX) and security.</w:t>
      </w:r>
    </w:p>
    <w:p>
      <w:pPr>
        <w:pStyle w:val="Heading3"/>
      </w:pPr>
      <w:bookmarkStart w:id="76" w:name="X60cab0debb7acc45b70992213cd72f3652bfa98"/>
      <w:r>
        <w:t xml:space="preserve">2.3.1.4 The Role of Sentiment and Qualitative Feedback</w:t>
      </w:r>
      <w:bookmarkEnd w:id="76"/>
    </w:p>
    <w:p>
      <w:pPr>
        <w:pStyle w:val="FirstParagraph"/>
      </w:pPr>
      <w:r>
        <w:t xml:space="preserve">Beyond quantitative conversion metrics, the analysis of user sentiment provides insight into the</w:t>
      </w:r>
      <w:r>
        <w:t xml:space="preserve"> </w:t>
      </w:r>
      <w:r>
        <w:t xml:space="preserve">“</w:t>
      </w:r>
      <w:r>
        <w:t xml:space="preserve">why</w:t>
      </w:r>
      <w:r>
        <w:t xml:space="preserve">”</w:t>
      </w:r>
      <w:r>
        <w:t xml:space="preserve"> </w:t>
      </w:r>
      <w:r>
        <w:t xml:space="preserve">behind abandonment. Meyer and Okuboyejo (Meyer &amp; Okuboyejo, 2019) utilized sentiment analysis on app reviews to identify key friction points. Their methodology, applied to the context of financial applications, suggests that users frequently cite</w:t>
      </w:r>
      <w:r>
        <w:t xml:space="preserve"> </w:t>
      </w:r>
      <w:r>
        <w:t xml:space="preserve">“</w:t>
      </w:r>
      <w:r>
        <w:t xml:space="preserve">intrusiveness</w:t>
      </w:r>
      <w:r>
        <w:t xml:space="preserve">”</w:t>
      </w:r>
      <w:r>
        <w:t xml:space="preserve"> </w:t>
      </w:r>
      <w:r>
        <w:t xml:space="preserve">and</w:t>
      </w:r>
      <w:r>
        <w:t xml:space="preserve"> </w:t>
      </w:r>
      <w:r>
        <w:t xml:space="preserve">“</w:t>
      </w:r>
      <w:r>
        <w:t xml:space="preserve">complexity</w:t>
      </w:r>
      <w:r>
        <w:t xml:space="preserve">”</w:t>
      </w:r>
      <w:r>
        <w:t xml:space="preserve"> </w:t>
      </w:r>
      <w:r>
        <w:t xml:space="preserve">as negative factors.</w:t>
      </w:r>
    </w:p>
    <w:p>
      <w:pPr>
        <w:pStyle w:val="BodyText"/>
      </w:pPr>
      <w:r>
        <w:t xml:space="preserve">Similarly, Othman (Othman, 2025) employed Latent Dirichlet Allocation (LDA) for topic modeling on user reviews of lending platforms. The results of this textual analysis reveal that</w:t>
      </w:r>
      <w:r>
        <w:t xml:space="preserve"> </w:t>
      </w:r>
      <w:r>
        <w:t xml:space="preserve">“</w:t>
      </w:r>
      <w:r>
        <w:t xml:space="preserve">speed of approval</w:t>
      </w:r>
      <w:r>
        <w:t xml:space="preserve">”</w:t>
      </w:r>
      <w:r>
        <w:t xml:space="preserve"> </w:t>
      </w:r>
      <w:r>
        <w:t xml:space="preserve">and</w:t>
      </w:r>
      <w:r>
        <w:t xml:space="preserve"> </w:t>
      </w:r>
      <w:r>
        <w:t xml:space="preserve">“</w:t>
      </w:r>
      <w:r>
        <w:t xml:space="preserve">clarity of terms</w:t>
      </w:r>
      <w:r>
        <w:t xml:space="preserve">”</w:t>
      </w:r>
      <w:r>
        <w:t xml:space="preserve"> </w:t>
      </w:r>
      <w:r>
        <w:t xml:space="preserve">are dominant topics associated with positive sentiment. This supports the hypothesis that personalization should be directed toward</w:t>
      </w:r>
      <w:r>
        <w:t xml:space="preserve"> </w:t>
      </w:r>
      <w:r>
        <w:rPr>
          <w:i/>
        </w:rPr>
        <w:t xml:space="preserve">simplifying</w:t>
      </w:r>
      <w:r>
        <w:t xml:space="preserve"> </w:t>
      </w:r>
      <w:r>
        <w:t xml:space="preserve">the user journey (e.g., pre-populating likely choices) rather than complicating it with excessive options.</w:t>
      </w:r>
    </w:p>
    <w:p>
      <w:pPr>
        <w:pStyle w:val="Heading2"/>
      </w:pPr>
      <w:bookmarkStart w:id="77" w:name="X8b700d5d8e58257f656220f32474af58210bdbd"/>
      <w:r>
        <w:t xml:space="preserve">2.3.2 Algorithmic Credit Assessment and Risk Prediction Results</w:t>
      </w:r>
      <w:bookmarkEnd w:id="77"/>
    </w:p>
    <w:p>
      <w:pPr>
        <w:pStyle w:val="FirstParagraph"/>
      </w:pPr>
      <w:r>
        <w:t xml:space="preserve">The core of the</w:t>
      </w:r>
      <w:r>
        <w:t xml:space="preserve"> </w:t>
      </w:r>
      <w:r>
        <w:t xml:space="preserve">“</w:t>
      </w:r>
      <w:r>
        <w:t xml:space="preserve">Analysis and Results</w:t>
      </w:r>
      <w:r>
        <w:t xml:space="preserve">”</w:t>
      </w:r>
      <w:r>
        <w:t xml:space="preserve"> </w:t>
      </w:r>
      <w:r>
        <w:t xml:space="preserve">regarding the backend of the credit card application focuses on the efficacy of Machine Learning (ML) models compared to traditional credit scoring. The literature provides strong data demonstrating that ML approaches, particularly ensemble methods, significantly outperform logistic regression baselines in predicting default and fraud.</w:t>
      </w:r>
    </w:p>
    <w:p>
      <w:pPr>
        <w:pStyle w:val="Heading3"/>
      </w:pPr>
      <w:bookmarkStart w:id="78" w:name="X9ff1058c24cf659e30960a5a8e0d99b19a9c46e"/>
      <w:r>
        <w:t xml:space="preserve">2.3.2.1 Performance of Ensemble Methods vs. Traditional Scoring</w:t>
      </w:r>
      <w:bookmarkEnd w:id="78"/>
    </w:p>
    <w:p>
      <w:pPr>
        <w:pStyle w:val="FirstParagraph"/>
      </w:pPr>
      <w:r>
        <w:t xml:space="preserve">Pathi (Pathi, 2025) presents a multi-agent framework utilizing XGBoost, a gradient-boosted decision tree algorithm. The analysis of this approach demonstrates superior predictive power. In comparative studies, XGBoost consistently achieves higher Area Under the Curve (AUC) scores than traditional logistic regression models used in legacy banking.</w:t>
      </w:r>
    </w:p>
    <w:p>
      <w:pPr>
        <w:pStyle w:val="BodyText"/>
      </w:pPr>
      <w:r>
        <w:t xml:space="preserve">The mathematical advantage of these models lies in their ability to capture non-linear relationships between variables. The objective function for XGBoost involves a regularization term to control complexity, which is critical for preventing overfitting in credit datasets:</w:t>
      </w:r>
    </w:p>
    <w:p>
      <w:pPr>
        <w:pStyle w:val="BodyText"/>
      </w:pPr>
      <m:oMathPara>
        <m:oMathParaPr>
          <m:jc m:val="center"/>
        </m:oMathParaPr>
        <m:oMath>
          <m:r>
            <m:t>L</m:t>
          </m:r>
          <m:r>
            <m:t>(</m:t>
          </m:r>
          <m:r>
            <m:t>ϕ</m:t>
          </m:r>
          <m:r>
            <m:t>)</m:t>
          </m:r>
          <m:r>
            <m:t>=</m:t>
          </m:r>
          <m:nary>
            <m:naryPr>
              <m:chr m:val="∑"/>
              <m:limLoc m:val="undOvr"/>
              <m:subHide m:val="0"/>
              <m:supHide m:val="1"/>
            </m:naryPr>
            <m:sub>
              <m:r>
                <m:t>i</m:t>
              </m:r>
            </m:sub>
            <m:sup>
              <m:r>
                <m:t>​</m:t>
              </m:r>
            </m:sup>
            <m:e>
              <m:r>
                <m:t>l</m:t>
              </m:r>
            </m:e>
          </m:nary>
          <m:r>
            <m:t>(</m:t>
          </m:r>
          <m:sSub>
            <m:e>
              <m:acc>
                <m:accPr>
                  <m:chr m:val="̂"/>
                </m:accPr>
                <m:e>
                  <m:r>
                    <m:t>y</m:t>
                  </m:r>
                </m:e>
              </m:acc>
            </m:e>
            <m:sub>
              <m:r>
                <m:t>i</m:t>
              </m:r>
            </m:sub>
          </m:sSub>
          <m:r>
            <m:t>,</m:t>
          </m:r>
          <m:sSub>
            <m:e>
              <m:r>
                <m:t>y</m:t>
              </m:r>
            </m:e>
            <m:sub>
              <m:r>
                <m:t>i</m:t>
              </m:r>
            </m:sub>
          </m:sSub>
          <m:r>
            <m:t>)</m:t>
          </m:r>
          <m:r>
            <m:t>+</m:t>
          </m:r>
          <m:nary>
            <m:naryPr>
              <m:chr m:val="∑"/>
              <m:limLoc m:val="undOvr"/>
              <m:subHide m:val="0"/>
              <m:supHide m:val="1"/>
            </m:naryPr>
            <m:sub>
              <m:r>
                <m:t>k</m:t>
              </m:r>
            </m:sub>
            <m:sup>
              <m:r>
                <m:t>​</m:t>
              </m:r>
            </m:sup>
            <m:e>
              <m:r>
                <m:t>Ω</m:t>
              </m:r>
            </m:e>
          </m:nary>
          <m:r>
            <m:t>(</m:t>
          </m:r>
          <m:sSub>
            <m:e>
              <m:r>
                <m:t>f</m:t>
              </m:r>
            </m:e>
            <m:sub>
              <m:r>
                <m:t>k</m:t>
              </m:r>
            </m:sub>
          </m:sSub>
          <m:r>
            <m:t>)</m:t>
          </m:r>
        </m:oMath>
      </m:oMathPara>
    </w:p>
    <w:p>
      <w:pPr>
        <w:pStyle w:val="FirstParagraph"/>
      </w:pPr>
      <w:r>
        <w:t xml:space="preserve">Where</w:t>
      </w:r>
      <w:r>
        <w:t xml:space="preserve"> </w:t>
      </w:r>
      <m:oMath>
        <m:r>
          <m:t>l</m:t>
        </m:r>
      </m:oMath>
      <w:r>
        <w:t xml:space="preserve"> </w:t>
      </w:r>
      <w:r>
        <w:t xml:space="preserve">is the differentiable convex loss function that measures the difference between the prediction</w:t>
      </w:r>
      <w:r>
        <w:t xml:space="preserve"> </w:t>
      </w:r>
      <m:oMath>
        <m:sSub>
          <m:e>
            <m:acc>
              <m:accPr>
                <m:chr m:val="̂"/>
              </m:accPr>
              <m:e>
                <m:r>
                  <m:t>y</m:t>
                </m:r>
              </m:e>
            </m:acc>
          </m:e>
          <m:sub>
            <m:r>
              <m:t>i</m:t>
            </m:r>
          </m:sub>
        </m:sSub>
      </m:oMath>
      <w:r>
        <w:t xml:space="preserve"> </w:t>
      </w:r>
      <w:r>
        <w:t xml:space="preserve">and the target</w:t>
      </w:r>
      <w:r>
        <w:t xml:space="preserve"> </w:t>
      </w:r>
      <m:oMath>
        <m:sSub>
          <m:e>
            <m:r>
              <m:t>y</m:t>
            </m:r>
          </m:e>
          <m:sub>
            <m:r>
              <m:t>i</m:t>
            </m:r>
          </m:sub>
        </m:sSub>
      </m:oMath>
      <w:r>
        <w:t xml:space="preserve">, and</w:t>
      </w:r>
      <w:r>
        <w:t xml:space="preserve"> </w:t>
      </w:r>
      <m:oMath>
        <m:r>
          <m:t>Ω</m:t>
        </m:r>
      </m:oMath>
      <w:r>
        <w:t xml:space="preserve"> </w:t>
      </w:r>
      <w:r>
        <w:t xml:space="preserve">penalizes the complexity of the model (number of leaves in the tree).</w:t>
      </w:r>
    </w:p>
    <w:p>
      <w:pPr>
        <w:pStyle w:val="BodyText"/>
      </w:pPr>
      <w:r>
        <w:t xml:space="preserve">Flores et al. (Flores et al., 2022) utilized a classification approach with Relief-based feature selection. Their results indicate that feature selection is a critical step in improving model accuracy. By reducing the dimensionality of the dataset to the most predictive variables (e.g., payment history, debt-to-income ratio), the model’s computational efficiency improves without sacrificing accuracy.</w:t>
      </w:r>
    </w:p>
    <w:p>
      <w:pPr>
        <w:pStyle w:val="BodyText"/>
      </w:pPr>
      <w:r>
        <w:rPr>
          <w:b/>
        </w:rPr>
        <w:t xml:space="preserve">Table 2: Comparative Performance of Credit Risk Models</w:t>
      </w:r>
    </w:p>
    <w:tbl>
      <w:tblPr>
        <w:tblStyle w:val="Table"/>
        <w:tblW w:type="pct" w:w="5000"/>
        <w:tblLook w:firstRow="1"/>
        <w:tblLayout w:type="autofit"/>
      </w:tblPr>
      <w:tblGrid>
        <w:gridCol w:w="1584"/>
        <w:gridCol w:w="1584"/>
        <w:gridCol w:w="1584"/>
        <w:gridCol w:w="1584"/>
        <w:gridCol w:w="1584"/>
      </w:tblGrid>
      <w:tr>
        <w:trPr>
          <w:cnfStyle w:firstRow="1"/>
        </w:trPr>
        <w:tc>
          <w:tcPr>
            <w:tcBorders>
              <w:bottom w:val="single"/>
            </w:tcBorders>
            <w:vAlign w:val="bottom"/>
            <w:noWrap/>
          </w:tcPr>
          <w:p>
            <w:pPr>
              <w:pStyle w:val="Compact"/>
              <w:spacing w:before="40" w:after="40"/>
              <w:jc w:val="left"/>
            </w:pPr>
            <w:r>
              <w:rPr>
                <w:sz w:val="16"/>
              </w:rPr>
              <w:t xml:space="preserve">Model Type</w:t>
            </w:r>
          </w:p>
        </w:tc>
        <w:tc>
          <w:tcPr>
            <w:tcBorders>
              <w:bottom w:val="single"/>
            </w:tcBorders>
            <w:vAlign w:val="bottom"/>
          </w:tcPr>
          <w:p>
            <w:pPr>
              <w:pStyle w:val="Compact"/>
              <w:spacing w:before="40" w:after="40"/>
              <w:jc w:val="left"/>
            </w:pPr>
            <w:r>
              <w:rPr>
                <w:sz w:val="16"/>
              </w:rPr>
              <w:t xml:space="preserve">Accuracy Metric</w:t>
            </w:r>
          </w:p>
        </w:tc>
        <w:tc>
          <w:tcPr>
            <w:tcBorders>
              <w:bottom w:val="single"/>
            </w:tcBorders>
            <w:vAlign w:val="bottom"/>
          </w:tcPr>
          <w:p>
            <w:pPr>
              <w:pStyle w:val="Compact"/>
              <w:spacing w:before="40" w:after="40"/>
              <w:jc w:val="left"/>
            </w:pPr>
            <w:r>
              <w:rPr>
                <w:sz w:val="16"/>
              </w:rPr>
              <w:t xml:space="preserve">Key Advantage</w:t>
            </w:r>
          </w:p>
        </w:tc>
        <w:tc>
          <w:tcPr>
            <w:tcBorders>
              <w:bottom w:val="single"/>
            </w:tcBorders>
            <w:vAlign w:val="bottom"/>
          </w:tcPr>
          <w:p>
            <w:pPr>
              <w:pStyle w:val="Compact"/>
              <w:spacing w:before="40" w:after="40"/>
              <w:jc w:val="left"/>
            </w:pPr>
            <w:r>
              <w:rPr>
                <w:sz w:val="16"/>
              </w:rPr>
              <w:t xml:space="preserve">Key Limitation</w:t>
            </w:r>
          </w:p>
        </w:tc>
        <w:tc>
          <w:tcPr>
            <w:tcBorders>
              <w:bottom w:val="single"/>
            </w:tcBorders>
            <w:vAlign w:val="bottom"/>
          </w:tcPr>
          <w:p>
            <w:pPr>
              <w:pStyle w:val="Compact"/>
              <w:spacing w:before="40" w:after="40"/>
              <w:jc w:val="left"/>
            </w:pPr>
            <w:r>
              <w:rPr>
                <w:sz w:val="16"/>
              </w:rPr>
              <w:t xml:space="preserve">Reference</w:t>
            </w:r>
          </w:p>
        </w:tc>
      </w:tr>
      <w:tr>
        <w:tc>
          <w:tcPr>
            <w:noWrap/>
          </w:tcPr>
          <w:p>
            <w:pPr>
              <w:pStyle w:val="Compact"/>
              <w:spacing w:before="40" w:after="40"/>
              <w:jc w:val="left"/>
            </w:pPr>
            <w:r>
              <w:rPr>
                <w:sz w:val="16"/>
              </w:rPr>
              <w:t xml:space="preserve">Logistic Regression</w:t>
            </w:r>
          </w:p>
        </w:tc>
        <w:tc>
          <w:tcPr/>
          <w:p>
            <w:pPr>
              <w:pStyle w:val="Compact"/>
              <w:spacing w:before="40" w:after="40"/>
              <w:jc w:val="left"/>
            </w:pPr>
            <w:r>
              <w:rPr>
                <w:sz w:val="16"/>
              </w:rPr>
              <w:t xml:space="preserve">~70-75%</w:t>
            </w:r>
          </w:p>
        </w:tc>
        <w:tc>
          <w:tcPr/>
          <w:p>
            <w:pPr>
              <w:pStyle w:val="Compact"/>
              <w:spacing w:before="40" w:after="40"/>
              <w:jc w:val="left"/>
            </w:pPr>
            <w:r>
              <w:rPr>
                <w:sz w:val="16"/>
              </w:rPr>
              <w:t xml:space="preserve">Highly Interpretable</w:t>
            </w:r>
          </w:p>
        </w:tc>
        <w:tc>
          <w:tcPr/>
          <w:p>
            <w:pPr>
              <w:pStyle w:val="Compact"/>
              <w:spacing w:before="40" w:after="40"/>
              <w:jc w:val="left"/>
            </w:pPr>
            <w:r>
              <w:rPr>
                <w:sz w:val="16"/>
              </w:rPr>
              <w:t xml:space="preserve">Misses non-linearities</w:t>
            </w:r>
          </w:p>
        </w:tc>
        <w:tc>
          <w:tcPr/>
          <w:p>
            <w:pPr>
              <w:pStyle w:val="Compact"/>
              <w:spacing w:before="40" w:after="40"/>
              <w:jc w:val="left"/>
            </w:pPr>
            <w:r>
              <w:rPr>
                <w:sz w:val="16"/>
              </w:rPr>
              <w:t xml:space="preserve">(Pathi, 2025)</w:t>
            </w:r>
          </w:p>
        </w:tc>
      </w:tr>
      <w:tr>
        <w:tc>
          <w:tcPr>
            <w:noWrap/>
          </w:tcPr>
          <w:p>
            <w:pPr>
              <w:pStyle w:val="Compact"/>
              <w:spacing w:before="40" w:after="40"/>
              <w:jc w:val="left"/>
            </w:pPr>
            <w:r>
              <w:rPr>
                <w:sz w:val="16"/>
              </w:rPr>
              <w:t xml:space="preserve">XGBoost</w:t>
            </w:r>
          </w:p>
        </w:tc>
        <w:tc>
          <w:tcPr/>
          <w:p>
            <w:pPr>
              <w:pStyle w:val="Compact"/>
              <w:spacing w:before="40" w:after="40"/>
              <w:jc w:val="left"/>
            </w:pPr>
            <w:r>
              <w:rPr>
                <w:sz w:val="16"/>
              </w:rPr>
              <w:t xml:space="preserve">~85-90%</w:t>
            </w:r>
          </w:p>
        </w:tc>
        <w:tc>
          <w:tcPr/>
          <w:p>
            <w:pPr>
              <w:pStyle w:val="Compact"/>
              <w:spacing w:before="40" w:after="40"/>
              <w:jc w:val="left"/>
            </w:pPr>
            <w:r>
              <w:rPr>
                <w:sz w:val="16"/>
              </w:rPr>
              <w:t xml:space="preserve">High Predictive Power</w:t>
            </w:r>
          </w:p>
        </w:tc>
        <w:tc>
          <w:tcPr/>
          <w:p>
            <w:pPr>
              <w:pStyle w:val="Compact"/>
              <w:spacing w:before="40" w:after="40"/>
              <w:jc w:val="left"/>
            </w:pPr>
            <w:r>
              <w:rPr>
                <w:sz w:val="16"/>
              </w:rPr>
              <w:t xml:space="preserve">Black-box nature</w:t>
            </w:r>
          </w:p>
        </w:tc>
        <w:tc>
          <w:tcPr/>
          <w:p>
            <w:pPr>
              <w:pStyle w:val="Compact"/>
              <w:spacing w:before="40" w:after="40"/>
              <w:jc w:val="left"/>
            </w:pPr>
            <w:r>
              <w:rPr>
                <w:sz w:val="16"/>
              </w:rPr>
              <w:t xml:space="preserve">(Pathi, 2025)</w:t>
            </w:r>
          </w:p>
        </w:tc>
      </w:tr>
      <w:tr>
        <w:tc>
          <w:tcPr>
            <w:noWrap/>
          </w:tcPr>
          <w:p>
            <w:pPr>
              <w:pStyle w:val="Compact"/>
              <w:spacing w:before="40" w:after="40"/>
              <w:jc w:val="left"/>
            </w:pPr>
            <w:r>
              <w:rPr>
                <w:sz w:val="16"/>
              </w:rPr>
              <w:t xml:space="preserve">Multi-Layer Perceptron</w:t>
            </w:r>
          </w:p>
        </w:tc>
        <w:tc>
          <w:tcPr/>
          <w:p>
            <w:pPr>
              <w:pStyle w:val="Compact"/>
              <w:spacing w:before="40" w:after="40"/>
              <w:jc w:val="left"/>
            </w:pPr>
            <w:r>
              <w:rPr>
                <w:sz w:val="16"/>
              </w:rPr>
              <w:t xml:space="preserve">~82-88%</w:t>
            </w:r>
          </w:p>
        </w:tc>
        <w:tc>
          <w:tcPr/>
          <w:p>
            <w:pPr>
              <w:pStyle w:val="Compact"/>
              <w:spacing w:before="40" w:after="40"/>
              <w:jc w:val="left"/>
            </w:pPr>
            <w:r>
              <w:rPr>
                <w:sz w:val="16"/>
              </w:rPr>
              <w:t xml:space="preserve">Complex Pattern Rec.</w:t>
            </w:r>
          </w:p>
        </w:tc>
        <w:tc>
          <w:tcPr/>
          <w:p>
            <w:pPr>
              <w:pStyle w:val="Compact"/>
              <w:spacing w:before="40" w:after="40"/>
              <w:jc w:val="left"/>
            </w:pPr>
            <w:r>
              <w:rPr>
                <w:sz w:val="16"/>
              </w:rPr>
              <w:t xml:space="preserve">Requires large data</w:t>
            </w:r>
          </w:p>
        </w:tc>
        <w:tc>
          <w:tcPr/>
          <w:p>
            <w:pPr>
              <w:pStyle w:val="Compact"/>
              <w:spacing w:before="40" w:after="40"/>
              <w:jc w:val="left"/>
            </w:pPr>
            <w:r>
              <w:rPr>
                <w:sz w:val="16"/>
              </w:rPr>
              <w:t xml:space="preserve">(Shakadwipi, 2023)</w:t>
            </w:r>
          </w:p>
        </w:tc>
      </w:tr>
      <w:tr>
        <w:tc>
          <w:tcPr>
            <w:noWrap/>
          </w:tcPr>
          <w:p>
            <w:pPr>
              <w:pStyle w:val="Compact"/>
              <w:spacing w:before="40" w:after="40"/>
              <w:jc w:val="left"/>
            </w:pPr>
            <w:r>
              <w:rPr>
                <w:sz w:val="16"/>
              </w:rPr>
              <w:t xml:space="preserve">Relief-Based Class.</w:t>
            </w:r>
          </w:p>
        </w:tc>
        <w:tc>
          <w:tcPr/>
          <w:p>
            <w:pPr>
              <w:pStyle w:val="Compact"/>
              <w:spacing w:before="40" w:after="40"/>
              <w:jc w:val="left"/>
            </w:pPr>
            <w:r>
              <w:rPr>
                <w:sz w:val="16"/>
              </w:rPr>
              <w:t xml:space="preserve">~85%</w:t>
            </w:r>
          </w:p>
        </w:tc>
        <w:tc>
          <w:tcPr/>
          <w:p>
            <w:pPr>
              <w:pStyle w:val="Compact"/>
              <w:spacing w:before="40" w:after="40"/>
              <w:jc w:val="left"/>
            </w:pPr>
            <w:r>
              <w:rPr>
                <w:sz w:val="16"/>
              </w:rPr>
              <w:t xml:space="preserve">Efficient Feature Set</w:t>
            </w:r>
          </w:p>
        </w:tc>
        <w:tc>
          <w:tcPr/>
          <w:p>
            <w:pPr>
              <w:pStyle w:val="Compact"/>
              <w:spacing w:before="40" w:after="40"/>
              <w:jc w:val="left"/>
            </w:pPr>
            <w:r>
              <w:rPr>
                <w:sz w:val="16"/>
              </w:rPr>
              <w:t xml:space="preserve">Computationally intense</w:t>
            </w:r>
          </w:p>
        </w:tc>
        <w:tc>
          <w:tcPr/>
          <w:p>
            <w:pPr>
              <w:pStyle w:val="Compact"/>
              <w:spacing w:before="40" w:after="40"/>
              <w:jc w:val="left"/>
            </w:pPr>
            <w:r>
              <w:rPr>
                <w:sz w:val="16"/>
              </w:rPr>
              <w:t xml:space="preserve">(Flores et al., 2022)</w:t>
            </w:r>
          </w:p>
        </w:tc>
      </w:tr>
    </w:tbl>
    <w:p>
      <w:pPr>
        <w:pStyle w:val="BodyText"/>
      </w:pPr>
      <w:r>
        <w:rPr>
          <w:i/>
        </w:rPr>
        <w:t xml:space="preserve">Source: Synthesized from performance data reported in (Pathi, 2025), (Shakadwipi, 2023), and (Flores et al., 2022).</w:t>
      </w:r>
    </w:p>
    <w:p>
      <w:pPr>
        <w:pStyle w:val="Heading3"/>
      </w:pPr>
      <w:bookmarkStart w:id="79" w:name="fraud-detection-capabilities"/>
      <w:r>
        <w:t xml:space="preserve">2.3.2.2 Fraud Detection Capabilities</w:t>
      </w:r>
      <w:bookmarkEnd w:id="79"/>
    </w:p>
    <w:p>
      <w:pPr>
        <w:pStyle w:val="FirstParagraph"/>
      </w:pPr>
      <w:r>
        <w:t xml:space="preserve">The analysis of fraud detection mechanisms is integral to the credit application process. Sam et al. (Sam et al., 2025) conducted a comparative study of automated ML models for credit card fraud identification. Their findings highlight that fraud datasets are inherently imbalanced (fraudulent transactions are rare compared to legitimate ones).</w:t>
      </w:r>
    </w:p>
    <w:p>
      <w:pPr>
        <w:pStyle w:val="BodyText"/>
      </w:pPr>
      <w:r>
        <w:t xml:space="preserve">To address this, standard accuracy metrics are insufficient. The analysis relies on Precision, Recall, and the F1-Score:</w:t>
      </w:r>
    </w:p>
    <w:p>
      <w:pPr>
        <w:pStyle w:val="BodyText"/>
      </w:pPr>
      <m:oMathPara>
        <m:oMathParaPr>
          <m:jc m:val="center"/>
        </m:oMathParaPr>
        <m:oMath>
          <m:r>
            <m:rPr>
              <m:nor/>
              <m:sty m:val="p"/>
            </m:rPr>
            <m:t>Precision</m:t>
          </m:r>
          <m:r>
            <m:t>=</m:t>
          </m:r>
          <m:f>
            <m:fPr>
              <m:type m:val="bar"/>
            </m:fPr>
            <m:num>
              <m:r>
                <m:t>T</m:t>
              </m:r>
              <m:r>
                <m:t>P</m:t>
              </m:r>
            </m:num>
            <m:den>
              <m:r>
                <m:t>T</m:t>
              </m:r>
              <m:r>
                <m:t>P</m:t>
              </m:r>
              <m:r>
                <m:t>+</m:t>
              </m:r>
              <m:r>
                <m:t>F</m:t>
              </m:r>
              <m:r>
                <m:t>P</m:t>
              </m:r>
            </m:den>
          </m:f>
        </m:oMath>
      </m:oMathPara>
    </w:p>
    <w:p>
      <w:pPr>
        <w:pStyle w:val="FirstParagraph"/>
      </w:pPr>
      <m:oMathPara>
        <m:oMathParaPr>
          <m:jc m:val="center"/>
        </m:oMathParaPr>
        <m:oMath>
          <m:r>
            <m:rPr>
              <m:nor/>
              <m:sty m:val="p"/>
            </m:rPr>
            <m:t>Recall</m:t>
          </m:r>
          <m:r>
            <m:t>=</m:t>
          </m:r>
          <m:f>
            <m:fPr>
              <m:type m:val="bar"/>
            </m:fPr>
            <m:num>
              <m:r>
                <m:t>T</m:t>
              </m:r>
              <m:r>
                <m:t>P</m:t>
              </m:r>
            </m:num>
            <m:den>
              <m:r>
                <m:t>T</m:t>
              </m:r>
              <m:r>
                <m:t>P</m:t>
              </m:r>
              <m:r>
                <m:t>+</m:t>
              </m:r>
              <m:r>
                <m:t>F</m:t>
              </m:r>
              <m:r>
                <m:t>N</m:t>
              </m:r>
            </m:den>
          </m:f>
        </m:oMath>
      </m:oMathPara>
    </w:p>
    <w:p>
      <w:pPr>
        <w:pStyle w:val="FirstParagraph"/>
      </w:pPr>
      <m:oMathPara>
        <m:oMathParaPr>
          <m:jc m:val="center"/>
        </m:oMathParaPr>
        <m:oMath>
          <m:r>
            <m:rPr>
              <m:nor/>
              <m:sty m:val="p"/>
            </m:rPr>
            <m:t>F1</m:t>
          </m:r>
          <m:r>
            <m:t>=</m:t>
          </m:r>
          <m:r>
            <m:t>2</m:t>
          </m:r>
          <m:r>
            <m:t>⋅</m:t>
          </m:r>
          <m:f>
            <m:fPr>
              <m:type m:val="bar"/>
            </m:fPr>
            <m:num>
              <m:r>
                <m:rPr>
                  <m:nor/>
                  <m:sty m:val="p"/>
                </m:rPr>
                <m:t>Precision</m:t>
              </m:r>
              <m:r>
                <m:t>⋅</m:t>
              </m:r>
              <m:r>
                <m:rPr>
                  <m:nor/>
                  <m:sty m:val="p"/>
                </m:rPr>
                <m:t>Recall</m:t>
              </m:r>
            </m:num>
            <m:den>
              <m:r>
                <m:rPr>
                  <m:nor/>
                  <m:sty m:val="p"/>
                </m:rPr>
                <m:t>Precision</m:t>
              </m:r>
              <m:r>
                <m:t>+</m:t>
              </m:r>
              <m:r>
                <m:rPr>
                  <m:nor/>
                  <m:sty m:val="p"/>
                </m:rPr>
                <m:t>Recall</m:t>
              </m:r>
            </m:den>
          </m:f>
        </m:oMath>
      </m:oMathPara>
    </w:p>
    <w:p>
      <w:pPr>
        <w:pStyle w:val="FirstParagraph"/>
      </w:pPr>
      <w:r>
        <w:t xml:space="preserve">Where</w:t>
      </w:r>
      <w:r>
        <w:t xml:space="preserve"> </w:t>
      </w:r>
      <m:oMath>
        <m:r>
          <m:t>T</m:t>
        </m:r>
        <m:r>
          <m:t>P</m:t>
        </m:r>
      </m:oMath>
      <w:r>
        <w:t xml:space="preserve"> </w:t>
      </w:r>
      <w:r>
        <w:t xml:space="preserve">is True Positive (fraud correctly identified),</w:t>
      </w:r>
      <w:r>
        <w:t xml:space="preserve"> </w:t>
      </w:r>
      <m:oMath>
        <m:r>
          <m:t>F</m:t>
        </m:r>
        <m:r>
          <m:t>P</m:t>
        </m:r>
      </m:oMath>
      <w:r>
        <w:t xml:space="preserve"> </w:t>
      </w:r>
      <w:r>
        <w:t xml:space="preserve">is False Positive (legitimate transaction flagged as fraud), and</w:t>
      </w:r>
      <w:r>
        <w:t xml:space="preserve"> </w:t>
      </w:r>
      <m:oMath>
        <m:r>
          <m:t>F</m:t>
        </m:r>
        <m:r>
          <m:t>N</m:t>
        </m:r>
      </m:oMath>
      <w:r>
        <w:t xml:space="preserve"> </w:t>
      </w:r>
      <w:r>
        <w:t xml:space="preserve">is False Negative (fraud missed).</w:t>
      </w:r>
    </w:p>
    <w:p>
      <w:pPr>
        <w:pStyle w:val="BodyText"/>
      </w:pPr>
      <w:r>
        <w:t xml:space="preserve">Shakadwipi (Shakadwipi, 2023) demonstrated that multilayer algorithms based on data mining techniques achieve superior Recall rates, which is the critical metric for risk management (minimizing financial loss). However, a high False Positive rate can negatively impact UX by flagging legitimate customers, illustrating the tension between risk management and user experience discussed in Section 2.3.1.</w:t>
      </w:r>
    </w:p>
    <w:p>
      <w:pPr>
        <w:pStyle w:val="Heading3"/>
      </w:pPr>
      <w:bookmarkStart w:id="80" w:name="explainability-and-shap-values"/>
      <w:r>
        <w:t xml:space="preserve">2.3.2.3 Explainability and SHAP Values</w:t>
      </w:r>
      <w:bookmarkEnd w:id="80"/>
    </w:p>
    <w:p>
      <w:pPr>
        <w:pStyle w:val="FirstParagraph"/>
      </w:pPr>
      <w:r>
        <w:t xml:space="preserve">A major barrier to the adoption of advanced ML in credit scoring is the</w:t>
      </w:r>
      <w:r>
        <w:t xml:space="preserve"> </w:t>
      </w:r>
      <w:r>
        <w:t xml:space="preserve">“</w:t>
      </w:r>
      <w:r>
        <w:t xml:space="preserve">black box</w:t>
      </w:r>
      <w:r>
        <w:t xml:space="preserve">”</w:t>
      </w:r>
      <w:r>
        <w:t xml:space="preserve"> </w:t>
      </w:r>
      <w:r>
        <w:t xml:space="preserve">problem. Pathi (Pathi, 2025) addresses this through the use of SHAP (SHapley Additive exPlanations) values. The analysis shows that integrating SHAP values allows for the generation of</w:t>
      </w:r>
      <w:r>
        <w:t xml:space="preserve"> </w:t>
      </w:r>
      <w:r>
        <w:t xml:space="preserve">“</w:t>
      </w:r>
      <w:r>
        <w:t xml:space="preserve">reason codes</w:t>
      </w:r>
      <w:r>
        <w:t xml:space="preserve">”</w:t>
      </w:r>
      <w:r>
        <w:t xml:space="preserve"> </w:t>
      </w:r>
      <w:r>
        <w:t xml:space="preserve">for credit denial, which is a regulatory requirement in many jurisdictions.</w:t>
      </w:r>
    </w:p>
    <w:p>
      <w:pPr>
        <w:pStyle w:val="BodyText"/>
      </w:pPr>
      <w:r>
        <w:t xml:space="preserve">The SHAP value</w:t>
      </w:r>
      <w:r>
        <w:t xml:space="preserve"> </w:t>
      </w:r>
      <m:oMath>
        <m:sSub>
          <m:e>
            <m:r>
              <m:t>ϕ</m:t>
            </m:r>
          </m:e>
          <m:sub>
            <m:r>
              <m:t>i</m:t>
            </m:r>
          </m:sub>
        </m:sSub>
      </m:oMath>
      <w:r>
        <w:t xml:space="preserve"> </w:t>
      </w:r>
      <w:r>
        <w:t xml:space="preserve">for a feature</w:t>
      </w:r>
      <w:r>
        <w:t xml:space="preserve"> </w:t>
      </w:r>
      <m:oMath>
        <m:r>
          <m:t>i</m:t>
        </m:r>
      </m:oMath>
      <w:r>
        <w:t xml:space="preserve"> </w:t>
      </w:r>
      <w:r>
        <w:t xml:space="preserve">is calculated as the weighted average of marginal contributions:</w:t>
      </w:r>
    </w:p>
    <w:p>
      <w:pPr>
        <w:pStyle w:val="BodyText"/>
      </w:pPr>
      <m:oMathPara>
        <m:oMathParaPr>
          <m:jc m:val="center"/>
        </m:oMathParaPr>
        <m:oMath>
          <m:sSub>
            <m:e>
              <m:r>
                <m:t>ϕ</m:t>
              </m:r>
            </m:e>
            <m:sub>
              <m:r>
                <m:t>i</m:t>
              </m:r>
            </m:sub>
          </m:sSub>
          <m:r>
            <m:t>=</m:t>
          </m:r>
          <m:nary>
            <m:naryPr>
              <m:chr m:val="∑"/>
              <m:limLoc m:val="undOvr"/>
              <m:subHide m:val="0"/>
              <m:supHide m:val="1"/>
            </m:naryPr>
            <m:sub>
              <m:r>
                <m:t>S</m:t>
              </m:r>
              <m:r>
                <m:t>⊆</m:t>
              </m:r>
              <m:r>
                <m:t>F</m:t>
              </m:r>
              <m:r>
                <m:t>\</m:t>
              </m:r>
              <m:r>
                <m:t>{</m:t>
              </m:r>
              <m:r>
                <m:t>i</m:t>
              </m:r>
              <m:r>
                <m:t>}</m:t>
              </m:r>
            </m:sub>
            <m:sup>
              <m:r>
                <m:t>​</m:t>
              </m:r>
            </m:sup>
            <m:e>
              <m:f>
                <m:fPr>
                  <m:type m:val="bar"/>
                </m:fPr>
                <m:num>
                  <m:r>
                    <m:t>|</m:t>
                  </m:r>
                  <m:r>
                    <m:t>S</m:t>
                  </m:r>
                  <m:r>
                    <m:t>|</m:t>
                  </m:r>
                  <m:r>
                    <m:t>!</m:t>
                  </m:r>
                  <m:r>
                    <m:t>(</m:t>
                  </m:r>
                  <m:r>
                    <m:t>|</m:t>
                  </m:r>
                  <m:r>
                    <m:t>F</m:t>
                  </m:r>
                  <m:r>
                    <m:t>|</m:t>
                  </m:r>
                  <m:r>
                    <m:t>−</m:t>
                  </m:r>
                  <m:r>
                    <m:t>|</m:t>
                  </m:r>
                  <m:r>
                    <m:t>S</m:t>
                  </m:r>
                  <m:r>
                    <m:t>|</m:t>
                  </m:r>
                  <m:r>
                    <m:t>−</m:t>
                  </m:r>
                  <m:r>
                    <m:t>1</m:t>
                  </m:r>
                  <m:r>
                    <m:t>)</m:t>
                  </m:r>
                  <m:r>
                    <m:t>!</m:t>
                  </m:r>
                </m:num>
                <m:den>
                  <m:r>
                    <m:t>|</m:t>
                  </m:r>
                  <m:r>
                    <m:t>F</m:t>
                  </m:r>
                  <m:r>
                    <m:t>|</m:t>
                  </m:r>
                  <m:r>
                    <m:t>!</m:t>
                  </m:r>
                </m:den>
              </m:f>
            </m:e>
          </m:nary>
          <m:r>
            <m:t>[</m:t>
          </m:r>
          <m:sSub>
            <m:e>
              <m:r>
                <m:t>f</m:t>
              </m:r>
            </m:e>
            <m:sub>
              <m:r>
                <m:t>S</m:t>
              </m:r>
              <m:r>
                <m:t>∪</m:t>
              </m:r>
              <m:r>
                <m:t>{</m:t>
              </m:r>
              <m:r>
                <m:t>i</m:t>
              </m:r>
              <m:r>
                <m:t>}</m:t>
              </m:r>
            </m:sub>
          </m:sSub>
          <m:r>
            <m:t>(</m:t>
          </m:r>
          <m:sSub>
            <m:e>
              <m:r>
                <m:t>x</m:t>
              </m:r>
            </m:e>
            <m:sub>
              <m:r>
                <m:t>S</m:t>
              </m:r>
              <m:r>
                <m:t>∪</m:t>
              </m:r>
              <m:r>
                <m:t>{</m:t>
              </m:r>
              <m:r>
                <m:t>i</m:t>
              </m:r>
              <m:r>
                <m:t>}</m:t>
              </m:r>
            </m:sub>
          </m:sSub>
          <m:r>
            <m:t>)</m:t>
          </m:r>
          <m:r>
            <m:t>−</m:t>
          </m:r>
          <m:sSub>
            <m:e>
              <m:r>
                <m:t>f</m:t>
              </m:r>
            </m:e>
            <m:sub>
              <m:r>
                <m:t>S</m:t>
              </m:r>
            </m:sub>
          </m:sSub>
          <m:r>
            <m:t>(</m:t>
          </m:r>
          <m:sSub>
            <m:e>
              <m:r>
                <m:t>x</m:t>
              </m:r>
            </m:e>
            <m:sub>
              <m:r>
                <m:t>S</m:t>
              </m:r>
            </m:sub>
          </m:sSub>
          <m:r>
            <m:t>)</m:t>
          </m:r>
          <m:r>
            <m:t>]</m:t>
          </m:r>
        </m:oMath>
      </m:oMathPara>
    </w:p>
    <w:p>
      <w:pPr>
        <w:pStyle w:val="FirstParagraph"/>
      </w:pPr>
      <w:r>
        <w:t xml:space="preserve">This approach allows the system to provide personalized explanations (e.g.,</w:t>
      </w:r>
      <w:r>
        <w:t xml:space="preserve"> </w:t>
      </w:r>
      <w:r>
        <w:t xml:space="preserve">“</w:t>
      </w:r>
      <w:r>
        <w:t xml:space="preserve">Your debt-to-income ratio reduced your score by 15 points</w:t>
      </w:r>
      <w:r>
        <w:t xml:space="preserve">”</w:t>
      </w:r>
      <w:r>
        <w:t xml:space="preserve">), thereby enhancing transparency and trust, which are critical components of the</w:t>
      </w:r>
      <w:r>
        <w:t xml:space="preserve"> </w:t>
      </w:r>
      <w:r>
        <w:t xml:space="preserve">“</w:t>
      </w:r>
      <w:r>
        <w:t xml:space="preserve">Personalisation as Currency</w:t>
      </w:r>
      <w:r>
        <w:t xml:space="preserve">”</w:t>
      </w:r>
      <w:r>
        <w:t xml:space="preserve"> </w:t>
      </w:r>
      <w:r>
        <w:t xml:space="preserve">framework (Ridgway, 2015).</w:t>
      </w:r>
    </w:p>
    <w:p>
      <w:pPr>
        <w:pStyle w:val="Heading3"/>
      </w:pPr>
      <w:bookmarkStart w:id="81" w:name="Xaa5ce4e5341e8b17de4bbedb48d3c0d2227dc7f"/>
      <w:r>
        <w:t xml:space="preserve">2.3.2.4 Bias and Ethical Considerations in Algorithmic Decisioning</w:t>
      </w:r>
      <w:bookmarkEnd w:id="81"/>
    </w:p>
    <w:p>
      <w:pPr>
        <w:pStyle w:val="FirstParagraph"/>
      </w:pPr>
      <w:r>
        <w:t xml:space="preserve">Sriram (Sriram, 2025) provides a critical analysis of data quality and bias in algorithmic credit decisions. The results indicate that models trained on historical data often perpetuate historical biases against marginalized groups. For instance, if a specific zip code was historically redlined, an ML model might learn to associate that location with higher risk, independent of the individual’s actual creditworthiness.</w:t>
      </w:r>
    </w:p>
    <w:p>
      <w:pPr>
        <w:pStyle w:val="BodyText"/>
      </w:pPr>
      <w:r>
        <w:t xml:space="preserve">The analysis suggests that</w:t>
      </w:r>
      <w:r>
        <w:t xml:space="preserve"> </w:t>
      </w:r>
      <w:r>
        <w:t xml:space="preserve">“</w:t>
      </w:r>
      <w:r>
        <w:t xml:space="preserve">fairness-aware</w:t>
      </w:r>
      <w:r>
        <w:t xml:space="preserve">”</w:t>
      </w:r>
      <w:r>
        <w:t xml:space="preserve"> </w:t>
      </w:r>
      <w:r>
        <w:t xml:space="preserve">ML techniques are necessary. This involves pre-processing data to remove sensitive correlations or modifying the loss function to penalize disparate impact. Sriram’s findings emphasize that technical accuracy (AUC) cannot be the sole metric;</w:t>
      </w:r>
      <w:r>
        <w:t xml:space="preserve"> </w:t>
      </w:r>
      <w:r>
        <w:t xml:space="preserve">“</w:t>
      </w:r>
      <w:r>
        <w:t xml:space="preserve">fairness metrics</w:t>
      </w:r>
      <w:r>
        <w:t xml:space="preserve">”</w:t>
      </w:r>
      <w:r>
        <w:t xml:space="preserve"> </w:t>
      </w:r>
      <w:r>
        <w:t xml:space="preserve">must be included in the results evaluation to ensure ethical compliance.</w:t>
      </w:r>
    </w:p>
    <w:p>
      <w:pPr>
        <w:pStyle w:val="Heading2"/>
      </w:pPr>
      <w:bookmarkStart w:id="82" w:name="X55236ee4108c4c21c70041fc009a86bf38f475a"/>
      <w:r>
        <w:t xml:space="preserve">2.3.3 Digital Banking Maturity and Implementation Readiness</w:t>
      </w:r>
      <w:bookmarkEnd w:id="82"/>
    </w:p>
    <w:p>
      <w:pPr>
        <w:pStyle w:val="FirstParagraph"/>
      </w:pPr>
      <w:r>
        <w:t xml:space="preserve">The third dimension of the analysis concerns the organizational and technological readiness required to implement the personalized, ML-driven frameworks discussed above. The literature suggests that the success of such initiatives is strongly correlated with the institution’s</w:t>
      </w:r>
      <w:r>
        <w:t xml:space="preserve"> </w:t>
      </w:r>
      <w:r>
        <w:t xml:space="preserve">“</w:t>
      </w:r>
      <w:r>
        <w:t xml:space="preserve">Digital Banking Maturity.</w:t>
      </w:r>
      <w:r>
        <w:t xml:space="preserve">”</w:t>
      </w:r>
    </w:p>
    <w:p>
      <w:pPr>
        <w:pStyle w:val="Heading3"/>
      </w:pPr>
      <w:bookmarkStart w:id="83" w:name="Xa3f24cc1baba582104eb78c5344093e1d57bc76"/>
      <w:r>
        <w:t xml:space="preserve">2.3.3.1 Maturity Models and the Innovation Paradox</w:t>
      </w:r>
      <w:bookmarkEnd w:id="83"/>
    </w:p>
    <w:p>
      <w:pPr>
        <w:pStyle w:val="FirstParagraph"/>
      </w:pPr>
      <w:r>
        <w:t xml:space="preserve">Mushtaq (Mushtaq, 2025) analyzes the</w:t>
      </w:r>
      <w:r>
        <w:t xml:space="preserve"> </w:t>
      </w:r>
      <w:r>
        <w:t xml:space="preserve">“</w:t>
      </w:r>
      <w:r>
        <w:t xml:space="preserve">innovation paradox</w:t>
      </w:r>
      <w:r>
        <w:t xml:space="preserve">”</w:t>
      </w:r>
      <w:r>
        <w:t xml:space="preserve"> </w:t>
      </w:r>
      <w:r>
        <w:t xml:space="preserve">in banking, finding that while banks possess vast resources, their legacy infrastructure often hinders the rapid deployment of new technologies. The analysis reveals a bimodal distribution in the industry:</w:t>
      </w:r>
      <w:r>
        <w:t xml:space="preserve"> </w:t>
      </w:r>
      <w:r>
        <w:t xml:space="preserve">“</w:t>
      </w:r>
      <w:r>
        <w:t xml:space="preserve">Digital Leaders</w:t>
      </w:r>
      <w:r>
        <w:t xml:space="preserve">”</w:t>
      </w:r>
      <w:r>
        <w:t xml:space="preserve"> </w:t>
      </w:r>
      <w:r>
        <w:t xml:space="preserve">who have decoupled their front-end experience from legacy cores, and</w:t>
      </w:r>
      <w:r>
        <w:t xml:space="preserve"> </w:t>
      </w:r>
      <w:r>
        <w:t xml:space="preserve">“</w:t>
      </w:r>
      <w:r>
        <w:t xml:space="preserve">Laggards</w:t>
      </w:r>
      <w:r>
        <w:t xml:space="preserve">”</w:t>
      </w:r>
      <w:r>
        <w:t xml:space="preserve"> </w:t>
      </w:r>
      <w:r>
        <w:t xml:space="preserve">who attempt to layer digital skins over outdated systems.</w:t>
      </w:r>
    </w:p>
    <w:p>
      <w:pPr>
        <w:pStyle w:val="BodyText"/>
      </w:pPr>
      <w:r>
        <w:t xml:space="preserve">Vaidya (Vaidya, 2022) and Lie et al. (Lie et al., 2024) propose comprehensive maturity models. The</w:t>
      </w:r>
      <w:r>
        <w:t xml:space="preserve"> </w:t>
      </w:r>
      <w:r>
        <w:t xml:space="preserve">“</w:t>
      </w:r>
      <w:r>
        <w:t xml:space="preserve">Maturity Matrix</w:t>
      </w:r>
      <w:r>
        <w:t xml:space="preserve">”</w:t>
      </w:r>
      <w:r>
        <w:t xml:space="preserve"> </w:t>
      </w:r>
      <w:r>
        <w:t xml:space="preserve">developed by Lie et al. (Lie et al., 2024) assesses readiness across several dimensions, including corporate governance, technology infrastructure, and human capital.</w:t>
      </w:r>
    </w:p>
    <w:p>
      <w:pPr>
        <w:pStyle w:val="BodyText"/>
      </w:pPr>
      <w:r>
        <w:rPr>
          <w:b/>
        </w:rPr>
        <w:t xml:space="preserve">Table 3: Dimensions of Digital Banking Maturity</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Low Maturity Indicators</w:t>
            </w:r>
          </w:p>
        </w:tc>
        <w:tc>
          <w:tcPr>
            <w:tcBorders>
              <w:bottom w:val="single"/>
            </w:tcBorders>
            <w:vAlign w:val="bottom"/>
          </w:tcPr>
          <w:p>
            <w:pPr>
              <w:pStyle w:val="Compact"/>
              <w:spacing w:before="40" w:after="40"/>
              <w:jc w:val="left"/>
            </w:pPr>
            <w:r>
              <w:rPr>
                <w:sz w:val="18"/>
              </w:rPr>
              <w:t xml:space="preserve">High Maturity Indicators</w:t>
            </w:r>
          </w:p>
        </w:tc>
        <w:tc>
          <w:tcPr>
            <w:tcBorders>
              <w:bottom w:val="single"/>
            </w:tcBorders>
            <w:vAlign w:val="bottom"/>
          </w:tcPr>
          <w:p>
            <w:pPr>
              <w:pStyle w:val="Compact"/>
              <w:spacing w:before="40" w:after="40"/>
              <w:jc w:val="left"/>
            </w:pPr>
            <w:r>
              <w:rPr>
                <w:sz w:val="18"/>
              </w:rPr>
              <w:t xml:space="preserve">Impact on Pers.</w:t>
            </w:r>
          </w:p>
        </w:tc>
      </w:tr>
      <w:tr>
        <w:tc>
          <w:tcPr>
            <w:noWrap/>
          </w:tcPr>
          <w:p>
            <w:pPr>
              <w:pStyle w:val="Compact"/>
              <w:spacing w:before="40" w:after="40"/>
              <w:jc w:val="left"/>
            </w:pPr>
            <w:r>
              <w:rPr>
                <w:sz w:val="18"/>
              </w:rPr>
              <w:t xml:space="preserve">Data Infra.</w:t>
            </w:r>
          </w:p>
        </w:tc>
        <w:tc>
          <w:tcPr/>
          <w:p>
            <w:pPr>
              <w:pStyle w:val="Compact"/>
              <w:spacing w:before="40" w:after="40"/>
              <w:jc w:val="left"/>
            </w:pPr>
            <w:r>
              <w:rPr>
                <w:sz w:val="18"/>
              </w:rPr>
              <w:t xml:space="preserve">Siloed, batch processing</w:t>
            </w:r>
          </w:p>
        </w:tc>
        <w:tc>
          <w:tcPr/>
          <w:p>
            <w:pPr>
              <w:pStyle w:val="Compact"/>
              <w:spacing w:before="40" w:after="40"/>
              <w:jc w:val="left"/>
            </w:pPr>
            <w:r>
              <w:rPr>
                <w:sz w:val="18"/>
              </w:rPr>
              <w:t xml:space="preserve">Integrated, real-time</w:t>
            </w:r>
          </w:p>
        </w:tc>
        <w:tc>
          <w:tcPr/>
          <w:p>
            <w:pPr>
              <w:pStyle w:val="Compact"/>
              <w:spacing w:before="40" w:after="40"/>
              <w:jc w:val="left"/>
            </w:pPr>
            <w:r>
              <w:rPr>
                <w:sz w:val="18"/>
              </w:rPr>
              <w:t xml:space="preserve">Enables instant offers</w:t>
            </w:r>
          </w:p>
        </w:tc>
      </w:tr>
      <w:tr>
        <w:tc>
          <w:tcPr>
            <w:noWrap/>
          </w:tcPr>
          <w:p>
            <w:pPr>
              <w:pStyle w:val="Compact"/>
              <w:spacing w:before="40" w:after="40"/>
              <w:jc w:val="left"/>
            </w:pPr>
            <w:r>
              <w:rPr>
                <w:sz w:val="18"/>
              </w:rPr>
              <w:t xml:space="preserve">Governance</w:t>
            </w:r>
          </w:p>
        </w:tc>
        <w:tc>
          <w:tcPr/>
          <w:p>
            <w:pPr>
              <w:pStyle w:val="Compact"/>
              <w:spacing w:before="40" w:after="40"/>
              <w:jc w:val="left"/>
            </w:pPr>
            <w:r>
              <w:rPr>
                <w:sz w:val="18"/>
              </w:rPr>
              <w:t xml:space="preserve">Rigid, compliance-first</w:t>
            </w:r>
          </w:p>
        </w:tc>
        <w:tc>
          <w:tcPr/>
          <w:p>
            <w:pPr>
              <w:pStyle w:val="Compact"/>
              <w:spacing w:before="40" w:after="40"/>
              <w:jc w:val="left"/>
            </w:pPr>
            <w:r>
              <w:rPr>
                <w:sz w:val="18"/>
              </w:rPr>
              <w:t xml:space="preserve">Agile, risk-aware</w:t>
            </w:r>
          </w:p>
        </w:tc>
        <w:tc>
          <w:tcPr/>
          <w:p>
            <w:pPr>
              <w:pStyle w:val="Compact"/>
              <w:spacing w:before="40" w:after="40"/>
              <w:jc w:val="left"/>
            </w:pPr>
            <w:r>
              <w:rPr>
                <w:sz w:val="18"/>
              </w:rPr>
              <w:t xml:space="preserve">Faster feature rollout</w:t>
            </w:r>
          </w:p>
        </w:tc>
      </w:tr>
      <w:tr>
        <w:tc>
          <w:tcPr>
            <w:noWrap/>
          </w:tcPr>
          <w:p>
            <w:pPr>
              <w:pStyle w:val="Compact"/>
              <w:spacing w:before="40" w:after="40"/>
              <w:jc w:val="left"/>
            </w:pPr>
            <w:r>
              <w:rPr>
                <w:sz w:val="18"/>
              </w:rPr>
              <w:t xml:space="preserve">Cust. Centricity</w:t>
            </w:r>
          </w:p>
        </w:tc>
        <w:tc>
          <w:tcPr/>
          <w:p>
            <w:pPr>
              <w:pStyle w:val="Compact"/>
              <w:spacing w:before="40" w:after="40"/>
              <w:jc w:val="left"/>
            </w:pPr>
            <w:r>
              <w:rPr>
                <w:sz w:val="18"/>
              </w:rPr>
              <w:t xml:space="preserve">Product-focused</w:t>
            </w:r>
          </w:p>
        </w:tc>
        <w:tc>
          <w:tcPr/>
          <w:p>
            <w:pPr>
              <w:pStyle w:val="Compact"/>
              <w:spacing w:before="40" w:after="40"/>
              <w:jc w:val="left"/>
            </w:pPr>
            <w:r>
              <w:rPr>
                <w:sz w:val="18"/>
              </w:rPr>
              <w:t xml:space="preserve">Journey-focused</w:t>
            </w:r>
          </w:p>
        </w:tc>
        <w:tc>
          <w:tcPr/>
          <w:p>
            <w:pPr>
              <w:pStyle w:val="Compact"/>
              <w:spacing w:before="40" w:after="40"/>
              <w:jc w:val="left"/>
            </w:pPr>
            <w:r>
              <w:rPr>
                <w:sz w:val="18"/>
              </w:rPr>
              <w:t xml:space="preserve">Tailored UX design</w:t>
            </w:r>
          </w:p>
        </w:tc>
      </w:tr>
      <w:tr>
        <w:tc>
          <w:tcPr>
            <w:noWrap/>
          </w:tcPr>
          <w:p>
            <w:pPr>
              <w:pStyle w:val="Compact"/>
              <w:spacing w:before="40" w:after="40"/>
              <w:jc w:val="left"/>
            </w:pPr>
            <w:r>
              <w:rPr>
                <w:sz w:val="18"/>
              </w:rPr>
              <w:t xml:space="preserve">Tech Stack</w:t>
            </w:r>
          </w:p>
        </w:tc>
        <w:tc>
          <w:tcPr/>
          <w:p>
            <w:pPr>
              <w:pStyle w:val="Compact"/>
              <w:spacing w:before="40" w:after="40"/>
              <w:jc w:val="left"/>
            </w:pPr>
            <w:r>
              <w:rPr>
                <w:sz w:val="18"/>
              </w:rPr>
              <w:t xml:space="preserve">Monolithic legacy</w:t>
            </w:r>
          </w:p>
        </w:tc>
        <w:tc>
          <w:tcPr/>
          <w:p>
            <w:pPr>
              <w:pStyle w:val="Compact"/>
              <w:spacing w:before="40" w:after="40"/>
              <w:jc w:val="left"/>
            </w:pPr>
            <w:r>
              <w:rPr>
                <w:sz w:val="18"/>
              </w:rPr>
              <w:t xml:space="preserve">Microservices/API</w:t>
            </w:r>
          </w:p>
        </w:tc>
        <w:tc>
          <w:tcPr/>
          <w:p>
            <w:pPr>
              <w:pStyle w:val="Compact"/>
              <w:spacing w:before="40" w:after="40"/>
              <w:jc w:val="left"/>
            </w:pPr>
            <w:r>
              <w:rPr>
                <w:sz w:val="18"/>
              </w:rPr>
              <w:t xml:space="preserve">Flexible UI adaptation</w:t>
            </w:r>
          </w:p>
        </w:tc>
      </w:tr>
    </w:tbl>
    <w:p>
      <w:pPr>
        <w:pStyle w:val="BodyText"/>
      </w:pPr>
      <w:r>
        <w:rPr>
          <w:i/>
        </w:rPr>
        <w:t xml:space="preserve">Source: Synthesized from maturity frameworks in (Vaidya, 2022), (Lie et al., 2024), and (Deloitte, 2026).</w:t>
      </w:r>
    </w:p>
    <w:p>
      <w:pPr>
        <w:pStyle w:val="BodyText"/>
      </w:pPr>
      <w:r>
        <w:t xml:space="preserve">The Deloitte Digital Banking Maturity 2024 report (Deloitte, 2026) provides benchmark data indicating that</w:t>
      </w:r>
      <w:r>
        <w:t xml:space="preserve"> </w:t>
      </w:r>
      <w:r>
        <w:t xml:space="preserve">“</w:t>
      </w:r>
      <w:r>
        <w:t xml:space="preserve">Digital Champions</w:t>
      </w:r>
      <w:r>
        <w:t xml:space="preserve">”</w:t>
      </w:r>
      <w:r>
        <w:t xml:space="preserve"> </w:t>
      </w:r>
      <w:r>
        <w:t xml:space="preserve">outperform peers in Return on Equity (ROE) and Cost-to-Income (C/I) ratios. The analysis of this data suggests that the investment in the infrastructure required for personalization (e.g., real-time data pipelines) yields measurable financial returns beyond just customer acquisition.</w:t>
      </w:r>
    </w:p>
    <w:p>
      <w:pPr>
        <w:pStyle w:val="Heading3"/>
      </w:pPr>
      <w:bookmarkStart w:id="84" w:name="X98725dcae3973e522d5ff7107e6a8a4229a768b"/>
      <w:r>
        <w:t xml:space="preserve">2.3.3.2 Regulatory Compliance and Security as Enablers</w:t>
      </w:r>
      <w:bookmarkEnd w:id="84"/>
    </w:p>
    <w:p>
      <w:pPr>
        <w:pStyle w:val="FirstParagraph"/>
      </w:pPr>
      <w:r>
        <w:t xml:space="preserve">Contrary to the view that regulation hampers innovation, the analysis of Sacaleanu and Tak (Sacaleanu &amp; Tak, 2020) regarding PSD2 and Secure Customer Authentication (SCA) suggests that regulatory frameworks can drive better UX. By standardizing security protocols, regulations force institutions to adopt modern authentication methods (biometrics) that are often smoother than traditional passwords.</w:t>
      </w:r>
    </w:p>
    <w:p>
      <w:pPr>
        <w:pStyle w:val="BodyText"/>
      </w:pPr>
      <w:r>
        <w:t xml:space="preserve">Zentoni et al. (Zentoni et al., 2025) analyze Know Your Customer (KYC) models, emphasizing their role in preventing financial abuse. The integration of blockchain and smart contracts for KYC, as proposed by Osborne (Osborne, 2021), represents a frontier in this domain. The analysis indicates that decentralized identity verification could reduce the time-to-decision for credit applications from days to minutes, significantly impacting the conversion metrics discussed in Section 2.3.1.</w:t>
      </w:r>
    </w:p>
    <w:p>
      <w:pPr>
        <w:pStyle w:val="Heading3"/>
      </w:pPr>
      <w:bookmarkStart w:id="85" w:name="ai-and-business-transformation"/>
      <w:r>
        <w:t xml:space="preserve">2.3.3.3 AI and Business Transformation</w:t>
      </w:r>
      <w:bookmarkEnd w:id="85"/>
    </w:p>
    <w:p>
      <w:pPr>
        <w:pStyle w:val="FirstParagraph"/>
      </w:pPr>
      <w:r>
        <w:t xml:space="preserve">Radhai and Rajendran (Radhai &amp; Rajendran, 2025) analyze the broader scope of AI in business transformation. Their findings suggest that the successful implementation of AI (like the credit models in Section 2.3.2) requires a cultural shift within the bank. The</w:t>
      </w:r>
      <w:r>
        <w:t xml:space="preserve"> </w:t>
      </w:r>
      <w:r>
        <w:t xml:space="preserve">“</w:t>
      </w:r>
      <w:r>
        <w:t xml:space="preserve">results</w:t>
      </w:r>
      <w:r>
        <w:t xml:space="preserve">”</w:t>
      </w:r>
      <w:r>
        <w:t xml:space="preserve"> </w:t>
      </w:r>
      <w:r>
        <w:t xml:space="preserve">of AI implementation are not just better predictions but a fundamental change in operational workflows. For example, underwriters move from manual review of all files to reviewing only the</w:t>
      </w:r>
      <w:r>
        <w:t xml:space="preserve"> </w:t>
      </w:r>
      <w:r>
        <w:t xml:space="preserve">“</w:t>
      </w:r>
      <w:r>
        <w:t xml:space="preserve">edge cases</w:t>
      </w:r>
      <w:r>
        <w:t xml:space="preserve">”</w:t>
      </w:r>
      <w:r>
        <w:t xml:space="preserve"> </w:t>
      </w:r>
      <w:r>
        <w:t xml:space="preserve">flagged by the ML model, thereby increasing throughput and reducing unit costs.</w:t>
      </w:r>
    </w:p>
    <w:p>
      <w:pPr>
        <w:pStyle w:val="Heading2"/>
      </w:pPr>
      <w:bookmarkStart w:id="86" w:name="synthesis-of-methodological-approaches"/>
      <w:r>
        <w:t xml:space="preserve">2.3.4 Synthesis of Methodological Approaches</w:t>
      </w:r>
      <w:bookmarkEnd w:id="86"/>
    </w:p>
    <w:p>
      <w:pPr>
        <w:pStyle w:val="FirstParagraph"/>
      </w:pPr>
      <w:r>
        <w:t xml:space="preserve">The validity of the results discussed above relies heavily on the robustness of the experimental methods used. Kohavi and Tang (Kohavi &amp; Tang, 2020) provide the definitive analysis of</w:t>
      </w:r>
      <w:r>
        <w:t xml:space="preserve"> </w:t>
      </w:r>
      <w:r>
        <w:t xml:space="preserve">“</w:t>
      </w:r>
      <w:r>
        <w:t xml:space="preserve">Trustworthy Online Controlled Experiments</w:t>
      </w:r>
      <w:r>
        <w:t xml:space="preserve">”</w:t>
      </w:r>
      <w:r>
        <w:t xml:space="preserve"> </w:t>
      </w:r>
      <w:r>
        <w:t xml:space="preserve">(A/B testing). Their analysis of thousands of experiments at major tech companies reveals a</w:t>
      </w:r>
      <w:r>
        <w:t xml:space="preserve"> </w:t>
      </w:r>
      <w:r>
        <w:t xml:space="preserve">“</w:t>
      </w:r>
      <w:r>
        <w:t xml:space="preserve">Twyman’s Law</w:t>
      </w:r>
      <w:r>
        <w:t xml:space="preserve">”</w:t>
      </w:r>
      <w:r>
        <w:t xml:space="preserve"> </w:t>
      </w:r>
      <w:r>
        <w:t xml:space="preserve">of experimentation:</w:t>
      </w:r>
      <w:r>
        <w:t xml:space="preserve"> </w:t>
      </w:r>
      <w:r>
        <w:t xml:space="preserve">“</w:t>
      </w:r>
      <w:r>
        <w:t xml:space="preserve">Any figure that looks interesting or different is usually wrong.</w:t>
      </w:r>
      <w:r>
        <w:t xml:space="preserve">”</w:t>
      </w:r>
    </w:p>
    <w:p>
      <w:pPr>
        <w:pStyle w:val="Heading3"/>
      </w:pPr>
      <w:bookmarkStart w:id="87" w:name="X18e4fd2b9c5897018ff353507476867fc204e12"/>
      <w:r>
        <w:t xml:space="preserve">2.3.4.1 Statistical Validity in Online Experiments</w:t>
      </w:r>
      <w:bookmarkEnd w:id="87"/>
    </w:p>
    <w:p>
      <w:pPr>
        <w:pStyle w:val="FirstParagraph"/>
      </w:pPr>
      <w:r>
        <w:t xml:space="preserve">The analysis emphasizes the need for rigorous statistical controls. Common pitfalls identified include:</w:t>
      </w:r>
      <w:r>
        <w:t xml:space="preserve"> </w:t>
      </w:r>
      <w:r>
        <w:t xml:space="preserve">1.</w:t>
      </w:r>
      <w:r>
        <w:t xml:space="preserve"> </w:t>
      </w:r>
      <w:r>
        <w:rPr>
          <w:b/>
        </w:rPr>
        <w:t xml:space="preserve">Sample Ratio Mismatch (SRM):</w:t>
      </w:r>
      <w:r>
        <w:t xml:space="preserve"> </w:t>
      </w:r>
      <w:r>
        <w:t xml:space="preserve">When the number of users in the Control and Treatment groups differs significantly from the expected ratio (e.g., 50/50), indicating a bug in the assignment logic.</w:t>
      </w:r>
      <w:r>
        <w:t xml:space="preserve"> </w:t>
      </w:r>
      <w:r>
        <w:t xml:space="preserve">2.</w:t>
      </w:r>
      <w:r>
        <w:t xml:space="preserve"> </w:t>
      </w:r>
      <w:r>
        <w:rPr>
          <w:b/>
        </w:rPr>
        <w:t xml:space="preserve">Novelty Effects:</w:t>
      </w:r>
      <w:r>
        <w:t xml:space="preserve"> </w:t>
      </w:r>
      <w:r>
        <w:t xml:space="preserve">Short-term spikes in engagement due to a UI change that fade over time.</w:t>
      </w:r>
      <w:r>
        <w:t xml:space="preserve"> </w:t>
      </w:r>
      <w:r>
        <w:t xml:space="preserve">3.</w:t>
      </w:r>
      <w:r>
        <w:t xml:space="preserve"> </w:t>
      </w:r>
      <w:r>
        <w:rPr>
          <w:b/>
        </w:rPr>
        <w:t xml:space="preserve">Primacy Effects:</w:t>
      </w:r>
      <w:r>
        <w:t xml:space="preserve"> </w:t>
      </w:r>
      <w:r>
        <w:t xml:space="preserve">Existing users resisting change due to habituation.</w:t>
      </w:r>
    </w:p>
    <w:p>
      <w:pPr>
        <w:pStyle w:val="BodyText"/>
      </w:pPr>
      <w:r>
        <w:t xml:space="preserve">Kohavi’s data suggests that the majority of ideas (60-90%) fail to improve the target metric in controlled experiments. This finding is sobering but critical for the analysis of the proposed credit card application features. It implies that</w:t>
      </w:r>
      <w:r>
        <w:t xml:space="preserve"> </w:t>
      </w:r>
      <w:r>
        <w:t xml:space="preserve">“</w:t>
      </w:r>
      <w:r>
        <w:t xml:space="preserve">personalization</w:t>
      </w:r>
      <w:r>
        <w:t xml:space="preserve">”</w:t>
      </w:r>
      <w:r>
        <w:t xml:space="preserve"> </w:t>
      </w:r>
      <w:r>
        <w:t xml:space="preserve">is not a magic bullet; its specific implementation must be rigorously tested.</w:t>
      </w:r>
    </w:p>
    <w:p>
      <w:pPr>
        <w:pStyle w:val="Heading3"/>
      </w:pPr>
      <w:bookmarkStart w:id="88" w:name="Xdc574f30b55b3d15d311d6db70e822ac2eade07"/>
      <w:r>
        <w:t xml:space="preserve">2.3.4.2 Integrating Qualitative and Quantitative Data</w:t>
      </w:r>
      <w:bookmarkEnd w:id="88"/>
    </w:p>
    <w:p>
      <w:pPr>
        <w:pStyle w:val="FirstParagraph"/>
      </w:pPr>
      <w:r>
        <w:t xml:space="preserve">The most strong results are found in studies that combine quantitative metrics (click-through rates, default rates) with qualitative insights (sentiment analysis, user interviews). The combination of the methodologies from Pathi (Pathi, 2025) (quantitative ML) and Meyer (Meyer &amp; Okuboyejo, 2019) (qualitative sentiment) provides a comprehensive view. For instance, a model might predict low risk for a user, but if the user feels the application process is intrusive (negative sentiment), they will churn before the model can even make an offer.</w:t>
      </w:r>
    </w:p>
    <w:p>
      <w:pPr>
        <w:pStyle w:val="Heading2"/>
      </w:pPr>
      <w:bookmarkStart w:id="89" w:name="comparative-analysis-of-findings"/>
      <w:r>
        <w:t xml:space="preserve">2.3.5 Comparative Analysis of Findings</w:t>
      </w:r>
      <w:bookmarkEnd w:id="89"/>
    </w:p>
    <w:p>
      <w:pPr>
        <w:pStyle w:val="FirstParagraph"/>
      </w:pPr>
      <w:r>
        <w:t xml:space="preserve">Synthesizing the data across these domains reveals a coherent narrative regarding the future of digital lending.</w:t>
      </w:r>
    </w:p>
    <w:p>
      <w:pPr>
        <w:pStyle w:val="Heading3"/>
      </w:pPr>
      <w:bookmarkStart w:id="90" w:name="X1226979595266afed6386ff3ef659d9b375211a"/>
      <w:r>
        <w:t xml:space="preserve">2.3.5.1 The Tension Between Friction and Security</w:t>
      </w:r>
      <w:bookmarkEnd w:id="90"/>
    </w:p>
    <w:p>
      <w:pPr>
        <w:pStyle w:val="FirstParagraph"/>
      </w:pPr>
      <w:r>
        <w:t xml:space="preserve">A recurring theme in the analysis is the trade-off between reducing friction (to improve conversion, (Goldstein &amp; Hajaj, 2022)) and maintaining security (to prevent fraud, (Sam et al., 2025), (Dora &amp; Hluchý, 2025)).</w:t>
      </w:r>
      <w:r>
        <w:t xml:space="preserve"> </w:t>
      </w:r>
      <w:r>
        <w:t xml:space="preserve">*</w:t>
      </w:r>
      <w:r>
        <w:t xml:space="preserve"> </w:t>
      </w:r>
      <w:r>
        <w:rPr>
          <w:b/>
        </w:rPr>
        <w:t xml:space="preserve">Finding:</w:t>
      </w:r>
      <w:r>
        <w:t xml:space="preserve"> </w:t>
      </w:r>
      <w:r>
        <w:t xml:space="preserve">Mobile users have the lowest tolerance for friction.</w:t>
      </w:r>
      <w:r>
        <w:t xml:space="preserve"> </w:t>
      </w:r>
      <w:r>
        <w:t xml:space="preserve">*</w:t>
      </w:r>
      <w:r>
        <w:t xml:space="preserve"> </w:t>
      </w:r>
      <w:r>
        <w:rPr>
          <w:b/>
        </w:rPr>
        <w:t xml:space="preserve">Finding:</w:t>
      </w:r>
      <w:r>
        <w:t xml:space="preserve"> </w:t>
      </w:r>
      <w:r>
        <w:t xml:space="preserve">Client-side scripts reduce latency but increase security risk.</w:t>
      </w:r>
      <w:r>
        <w:t xml:space="preserve"> </w:t>
      </w:r>
      <w:r>
        <w:t xml:space="preserve">*</w:t>
      </w:r>
      <w:r>
        <w:t xml:space="preserve"> </w:t>
      </w:r>
      <w:r>
        <w:rPr>
          <w:b/>
        </w:rPr>
        <w:t xml:space="preserve">Synthesis:</w:t>
      </w:r>
      <w:r>
        <w:t xml:space="preserve"> </w:t>
      </w:r>
      <w:r>
        <w:t xml:space="preserve">The optimal solution appears to be</w:t>
      </w:r>
      <w:r>
        <w:t xml:space="preserve"> </w:t>
      </w:r>
      <w:r>
        <w:t xml:space="preserve">“</w:t>
      </w:r>
      <w:r>
        <w:t xml:space="preserve">invisible security</w:t>
      </w:r>
      <w:r>
        <w:t xml:space="preserve">”</w:t>
      </w:r>
      <w:r>
        <w:t xml:space="preserve"> </w:t>
      </w:r>
      <w:r>
        <w:t xml:space="preserve">or</w:t>
      </w:r>
      <w:r>
        <w:t xml:space="preserve"> </w:t>
      </w:r>
      <w:r>
        <w:t xml:space="preserve">“</w:t>
      </w:r>
      <w:r>
        <w:t xml:space="preserve">passive authentication,</w:t>
      </w:r>
      <w:r>
        <w:t xml:space="preserve">”</w:t>
      </w:r>
      <w:r>
        <w:t xml:space="preserve"> </w:t>
      </w:r>
      <w:r>
        <w:t xml:space="preserve">where risk assessment occurs in the background (using device telemetry, location data) without requiring active user input, as supported by the fraud detection methodologies in (Sam et al., 2025).</w:t>
      </w:r>
    </w:p>
    <w:p>
      <w:pPr>
        <w:pStyle w:val="Heading3"/>
      </w:pPr>
      <w:bookmarkStart w:id="91" w:name="the-evolution-of-credit-scoring"/>
      <w:r>
        <w:t xml:space="preserve">2.3.5.2 The Evolution of Credit Scoring</w:t>
      </w:r>
      <w:bookmarkEnd w:id="91"/>
    </w:p>
    <w:p>
      <w:pPr>
        <w:pStyle w:val="FirstParagraph"/>
      </w:pPr>
      <w:r>
        <w:t xml:space="preserve">The shift from logistic regression to ML ensembles ((Pathi, 2025), (Flores et al., 2022)) represents a step-change in predictive accuracy.</w:t>
      </w:r>
      <w:r>
        <w:t xml:space="preserve"> </w:t>
      </w:r>
      <w:r>
        <w:t xml:space="preserve">*</w:t>
      </w:r>
      <w:r>
        <w:t xml:space="preserve"> </w:t>
      </w:r>
      <w:r>
        <w:rPr>
          <w:b/>
        </w:rPr>
        <w:t xml:space="preserve">Finding:</w:t>
      </w:r>
      <w:r>
        <w:t xml:space="preserve"> </w:t>
      </w:r>
      <w:r>
        <w:t xml:space="preserve">XGBoost and similar models offer ~10-15% improvement in accuracy over baselines.</w:t>
      </w:r>
      <w:r>
        <w:t xml:space="preserve"> </w:t>
      </w:r>
      <w:r>
        <w:t xml:space="preserve">*</w:t>
      </w:r>
      <w:r>
        <w:t xml:space="preserve"> </w:t>
      </w:r>
      <w:r>
        <w:rPr>
          <w:b/>
        </w:rPr>
        <w:t xml:space="preserve">Finding:</w:t>
      </w:r>
      <w:r>
        <w:t xml:space="preserve"> </w:t>
      </w:r>
      <w:r>
        <w:t xml:space="preserve">Explainability (SHAP) is no longer optional due to regulatory and ethical demands ((Sriram, 2025)).</w:t>
      </w:r>
      <w:r>
        <w:t xml:space="preserve"> </w:t>
      </w:r>
      <w:r>
        <w:t xml:space="preserve">*</w:t>
      </w:r>
      <w:r>
        <w:t xml:space="preserve"> </w:t>
      </w:r>
      <w:r>
        <w:rPr>
          <w:b/>
        </w:rPr>
        <w:t xml:space="preserve">Synthesis:</w:t>
      </w:r>
      <w:r>
        <w:t xml:space="preserve"> </w:t>
      </w:r>
      <w:r>
        <w:t xml:space="preserve">The</w:t>
      </w:r>
      <w:r>
        <w:t xml:space="preserve"> </w:t>
      </w:r>
      <w:r>
        <w:t xml:space="preserve">“</w:t>
      </w:r>
      <w:r>
        <w:t xml:space="preserve">black box</w:t>
      </w:r>
      <w:r>
        <w:t xml:space="preserve">”</w:t>
      </w:r>
      <w:r>
        <w:t xml:space="preserve"> </w:t>
      </w:r>
      <w:r>
        <w:t xml:space="preserve">argument against ML in banking is becoming obsolete as explainable AI (XAI) techniques mature. The results confirm that high-performance models can be compliant if designed with interpretability in mind.</w:t>
      </w:r>
    </w:p>
    <w:p>
      <w:pPr>
        <w:pStyle w:val="Heading3"/>
      </w:pPr>
      <w:bookmarkStart w:id="92" w:name="the-imperative-of-maturity"/>
      <w:r>
        <w:t xml:space="preserve">2.3.5.3 The Imperative of Maturity</w:t>
      </w:r>
      <w:bookmarkEnd w:id="92"/>
    </w:p>
    <w:p>
      <w:pPr>
        <w:pStyle w:val="FirstParagraph"/>
      </w:pPr>
      <w:r>
        <w:t xml:space="preserve">The analysis of digital banking maturity ((Vaidya, 2022), (Deloitte, 2026)) acts as a control variable for all other findings.</w:t>
      </w:r>
      <w:r>
        <w:t xml:space="preserve"> </w:t>
      </w:r>
      <w:r>
        <w:t xml:space="preserve">*</w:t>
      </w:r>
      <w:r>
        <w:t xml:space="preserve"> </w:t>
      </w:r>
      <w:r>
        <w:rPr>
          <w:b/>
        </w:rPr>
        <w:t xml:space="preserve">Finding:</w:t>
      </w:r>
      <w:r>
        <w:t xml:space="preserve"> </w:t>
      </w:r>
      <w:r>
        <w:t xml:space="preserve">Advanced personalization strategies fail in low-maturity environments due to data silos.</w:t>
      </w:r>
      <w:r>
        <w:t xml:space="preserve"> </w:t>
      </w:r>
      <w:r>
        <w:t xml:space="preserve">*</w:t>
      </w:r>
      <w:r>
        <w:t xml:space="preserve"> </w:t>
      </w:r>
      <w:r>
        <w:rPr>
          <w:b/>
        </w:rPr>
        <w:t xml:space="preserve">Synthesis:</w:t>
      </w:r>
      <w:r>
        <w:t xml:space="preserve"> </w:t>
      </w:r>
      <w:r>
        <w:t xml:space="preserve">For the proposed credit card application to succeed, the underlying banking infrastructure must reach a minimum threshold of maturity (Level 3 or 4 in the Maturity Matrix), characterized by API-first architecture and real-time data integration.</w:t>
      </w:r>
    </w:p>
    <w:p>
      <w:pPr>
        <w:pStyle w:val="Heading2"/>
      </w:pPr>
      <w:bookmarkStart w:id="93" w:name="summary-of-analysis"/>
      <w:r>
        <w:t xml:space="preserve">2.3.6 Summary of Analysis</w:t>
      </w:r>
      <w:bookmarkEnd w:id="93"/>
    </w:p>
    <w:p>
      <w:pPr>
        <w:pStyle w:val="FirstParagraph"/>
      </w:pPr>
      <w:r>
        <w:t xml:space="preserve">The systematic analysis of the cited literature provides a strong evidence base for the impact of personalization in credit card applications. The data confirms that personalization acts as a</w:t>
      </w:r>
      <w:r>
        <w:t xml:space="preserve"> </w:t>
      </w:r>
      <w:r>
        <w:t xml:space="preserve">“</w:t>
      </w:r>
      <w:r>
        <w:t xml:space="preserve">currency</w:t>
      </w:r>
      <w:r>
        <w:t xml:space="preserve">”</w:t>
      </w:r>
      <w:r>
        <w:t xml:space="preserve"> </w:t>
      </w:r>
      <w:r>
        <w:t xml:space="preserve">that can drive engagement, provided it is implemented with sensitivity to device constraints and privacy concerns. Machine learning models, particularly ensemble methods utilizing SHAP values, offer superior risk assessment capabilities while maintaining necessary transparency. However, the realization of these benefits is contingent upon the digital maturity of the institution. The interplay between these factors–UX design, algorithmic precision, and organizational readiness–determines the ultimate success of the digital lending proposition. These analytical findings set the stage for the Discussion (Section 2.4), where the implications of these results for theory and practice will be elaborated.</w:t>
      </w:r>
    </w:p>
    <w:p>
      <w:pPr>
        <w:pStyle w:val="BodyText"/>
      </w:pPr>
      <w:r>
        <w:t xml:space="preserve">Final paragraph ends here.</w:t>
      </w:r>
    </w:p>
    <w:p>
      <w:pPr>
        <w:pStyle w:val="Heading1"/>
      </w:pPr>
      <w:bookmarkStart w:id="94" w:name="discussion"/>
      <w:r>
        <w:t xml:space="preserve">2.4 Discussion</w:t>
      </w:r>
      <w:bookmarkEnd w:id="94"/>
    </w:p>
    <w:p>
      <w:pPr>
        <w:pStyle w:val="FirstParagraph"/>
      </w:pPr>
      <w:r>
        <w:t xml:space="preserve">The synthesis of research findings presented in Section 2.3 offers a comprehensive perspective on the evolving environment of web-based credit card applications. While Section 2.1 established the theoretical foundations of digital banking innovation–highlighting the tension between legacy infrastructure and the</w:t>
      </w:r>
      <w:r>
        <w:t xml:space="preserve"> </w:t>
      </w:r>
      <w:r>
        <w:t xml:space="preserve">“</w:t>
      </w:r>
      <w:r>
        <w:t xml:space="preserve">innovation paradox</w:t>
      </w:r>
      <w:r>
        <w:t xml:space="preserve">”</w:t>
      </w:r>
      <w:r>
        <w:t xml:space="preserve"> </w:t>
      </w:r>
      <w:r>
        <w:t xml:space="preserve">(Mushtaq, 2025)–the analysis in Section 2.3 provides empirical evidence regarding the specific mechanisms that resolve this tension. This discussion interprets these findings, positioning them within the broader academic discourse on financial technology, user experience (UX), and algorithmic risk management.</w:t>
      </w:r>
    </w:p>
    <w:p>
      <w:pPr>
        <w:pStyle w:val="BodyText"/>
      </w:pPr>
      <w:r>
        <w:t xml:space="preserve">The literature suggests that the successful implementation of personalization in credit card applications is not merely a front-end design challenge but a systemic issue requiring the convergence of three distinct pillars: algorithmic explainability, digital maturity, and the psychological</w:t>
      </w:r>
      <w:r>
        <w:t xml:space="preserve"> </w:t>
      </w:r>
      <w:r>
        <w:t xml:space="preserve">“</w:t>
      </w:r>
      <w:r>
        <w:t xml:space="preserve">currency</w:t>
      </w:r>
      <w:r>
        <w:t xml:space="preserve">”</w:t>
      </w:r>
      <w:r>
        <w:t xml:space="preserve"> </w:t>
      </w:r>
      <w:r>
        <w:t xml:space="preserve">of user engagement. This section critically evaluates these intersections, addressing the research gaps identified in Section 2.1 regarding the disconnect between macro-level risk analysis and micro-level user interaction.</w:t>
      </w:r>
    </w:p>
    <w:p>
      <w:pPr>
        <w:pStyle w:val="Heading2"/>
      </w:pPr>
      <w:bookmarkStart w:id="95" w:name="X24ba597b3f1a0de5593064dde7e561e18ba751c"/>
      <w:r>
        <w:t xml:space="preserve">2.4.1 The Convergence of Algorithmic Precision and User Experience</w:t>
      </w:r>
      <w:bookmarkEnd w:id="95"/>
    </w:p>
    <w:p>
      <w:pPr>
        <w:pStyle w:val="FirstParagraph"/>
      </w:pPr>
      <w:r>
        <w:t xml:space="preserve">A primary finding from the literature analysis in Section 2.3 is the critical interdependence between machine learning (ML) model performance and user trust. As discussed in Section 2.1, traditional banking models often viewed risk assessment and user experience as competing priorities–where increased security or risk scrutiny necessarily degraded the user journey. However, the evidence synthesized from recent studies suggests that modern algorithmic approaches are dissolving this dichotomy.</w:t>
      </w:r>
    </w:p>
    <w:p>
      <w:pPr>
        <w:pStyle w:val="Heading3"/>
      </w:pPr>
      <w:bookmarkStart w:id="96" w:name="X74088faaafeeeda74416133468e95ae824010fd"/>
      <w:r>
        <w:t xml:space="preserve">2.4.1.1 The Shift from Black Box to Explainable AI (XAI)</w:t>
      </w:r>
      <w:bookmarkEnd w:id="96"/>
    </w:p>
    <w:p>
      <w:pPr>
        <w:pStyle w:val="FirstParagraph"/>
      </w:pPr>
      <w:r>
        <w:t xml:space="preserve">The literature demonstrates that the</w:t>
      </w:r>
      <w:r>
        <w:t xml:space="preserve"> </w:t>
      </w:r>
      <w:r>
        <w:t xml:space="preserve">“</w:t>
      </w:r>
      <w:r>
        <w:t xml:space="preserve">black box</w:t>
      </w:r>
      <w:r>
        <w:t xml:space="preserve">”</w:t>
      </w:r>
      <w:r>
        <w:t xml:space="preserve"> </w:t>
      </w:r>
      <w:r>
        <w:t xml:space="preserve">nature of early machine learning models posed a significant barrier to adoption in regulated financial sectors. Research by Sriram (Sriram, 2025) highlights the ethical and regulatory imperatives that previously limited the deployment of advanced algorithms. However, the analysis reveals that the integration of SHapley Additive exPlanations (SHAP) values has fundamentally altered this environment. The work of Pathi (Pathi, 2025) provides compelling evidence that ensemble methods, specifically XGBoost combined with SHAP, can deliver high-precision credit risk recommendations without sacrificing interpretability.</w:t>
      </w:r>
    </w:p>
    <w:p>
      <w:pPr>
        <w:pStyle w:val="BodyText"/>
      </w:pPr>
      <w:r>
        <w:t xml:space="preserve">This finding directly addresses the</w:t>
      </w:r>
      <w:r>
        <w:t xml:space="preserve"> </w:t>
      </w:r>
      <w:r>
        <w:t xml:space="preserve">“</w:t>
      </w:r>
      <w:r>
        <w:t xml:space="preserve">Innovation Paradox</w:t>
      </w:r>
      <w:r>
        <w:t xml:space="preserve">”</w:t>
      </w:r>
      <w:r>
        <w:t xml:space="preserve"> </w:t>
      </w:r>
      <w:r>
        <w:t xml:space="preserve">introduced by Mushtaq (Mushtaq, 2025) in Section 2.1, where banks struggle to innovate due to rigid compliance structures. The literature suggests that XAI acts as a technological bridge, allowing institutions to uses the 10-15% accuracy improvements noted in Section 2.3 while satisfying the stringent transparency requirements discussed in Section 2.1. By rendering complex decision boundaries transparent, financial institutions can offer personalized feedback to applicants–transforming a rejection from a binary</w:t>
      </w:r>
      <w:r>
        <w:t xml:space="preserve"> </w:t>
      </w:r>
      <w:r>
        <w:t xml:space="preserve">“</w:t>
      </w:r>
      <w:r>
        <w:t xml:space="preserve">no</w:t>
      </w:r>
      <w:r>
        <w:t xml:space="preserve">”</w:t>
      </w:r>
      <w:r>
        <w:t xml:space="preserve"> </w:t>
      </w:r>
      <w:r>
        <w:t xml:space="preserve">into a constructive, personalized financial roadmap. This capability represents a significant evolution from the static application forms criticized in early digital banking literature (Kalakota &amp; Whinston, 1997).</w:t>
      </w:r>
    </w:p>
    <w:p>
      <w:pPr>
        <w:pStyle w:val="Heading3"/>
      </w:pPr>
      <w:bookmarkStart w:id="97" w:name="Xc7b8b73301e4fa42f32839358ecd87ac55d511b"/>
      <w:r>
        <w:t xml:space="preserve">2.4.1.2 Personalization as a Transactional Currency</w:t>
      </w:r>
      <w:bookmarkEnd w:id="97"/>
    </w:p>
    <w:p>
      <w:pPr>
        <w:pStyle w:val="FirstParagraph"/>
      </w:pPr>
      <w:r>
        <w:t xml:space="preserve">Building on the concept of</w:t>
      </w:r>
      <w:r>
        <w:t xml:space="preserve"> </w:t>
      </w:r>
      <w:r>
        <w:t xml:space="preserve">“</w:t>
      </w:r>
      <w:r>
        <w:t xml:space="preserve">Personalization as Currency</w:t>
      </w:r>
      <w:r>
        <w:t xml:space="preserve">”</w:t>
      </w:r>
      <w:r>
        <w:t xml:space="preserve"> </w:t>
      </w:r>
      <w:r>
        <w:t xml:space="preserve">proposed by Ridgway (Ridgway, 2015), the discussion must extend beyond technical accuracy to user perception. The literature indicates that users are increasingly willing to trade personal data for perceived value, provided that the value exchange is transparent and immediate. In the context of credit card applications, this</w:t>
      </w:r>
      <w:r>
        <w:t xml:space="preserve"> </w:t>
      </w:r>
      <w:r>
        <w:t xml:space="preserve">“</w:t>
      </w:r>
      <w:r>
        <w:t xml:space="preserve">currency</w:t>
      </w:r>
      <w:r>
        <w:t xml:space="preserve">”</w:t>
      </w:r>
      <w:r>
        <w:t xml:space="preserve"> </w:t>
      </w:r>
      <w:r>
        <w:t xml:space="preserve">manifests as a reduction in cognitive load and an increase in relevance.</w:t>
      </w:r>
    </w:p>
    <w:p>
      <w:pPr>
        <w:pStyle w:val="BodyText"/>
      </w:pPr>
      <w:r>
        <w:t xml:space="preserve">The meta-analysis of short video platforms by Huang et al. (Huang et al., 2025) and the study on fintech engagement by Gada (Gada, 2024) offer parallel insights applicable to credit applications. These studies suggest that the mechanisms driving engagement in social media–brevity, immediate feedback, and hyper-relevance–are becoming the baseline expectation for financial services. When users encounter a credit card application that fails to uses their data to simplify the process (e.g., pre-filling fields or suggesting relevant products), it is perceived as a breach of the implicit</w:t>
      </w:r>
      <w:r>
        <w:t xml:space="preserve"> </w:t>
      </w:r>
      <w:r>
        <w:t xml:space="preserve">“</w:t>
      </w:r>
      <w:r>
        <w:t xml:space="preserve">digital contract.</w:t>
      </w:r>
      <w:r>
        <w:t xml:space="preserve">”</w:t>
      </w:r>
    </w:p>
    <w:p>
      <w:pPr>
        <w:pStyle w:val="BodyText"/>
      </w:pPr>
      <w:r>
        <w:t xml:space="preserve">Table 1 summarizes the shift in paradigm suggested by the literature, contrasting traditional approaches with the AI-driven models validated in Section 2.3.</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Feature</w:t>
            </w:r>
          </w:p>
        </w:tc>
        <w:tc>
          <w:tcPr>
            <w:tcBorders>
              <w:bottom w:val="single"/>
            </w:tcBorders>
            <w:vAlign w:val="bottom"/>
          </w:tcPr>
          <w:p>
            <w:pPr>
              <w:pStyle w:val="Compact"/>
              <w:spacing w:before="40" w:after="40"/>
              <w:jc w:val="left"/>
            </w:pPr>
            <w:r>
              <w:rPr>
                <w:sz w:val="18"/>
              </w:rPr>
              <w:t xml:space="preserve">Traditional Approach</w:t>
            </w:r>
          </w:p>
        </w:tc>
        <w:tc>
          <w:tcPr>
            <w:tcBorders>
              <w:bottom w:val="single"/>
            </w:tcBorders>
            <w:vAlign w:val="bottom"/>
          </w:tcPr>
          <w:p>
            <w:pPr>
              <w:pStyle w:val="Compact"/>
              <w:spacing w:before="40" w:after="40"/>
              <w:jc w:val="left"/>
            </w:pPr>
            <w:r>
              <w:rPr>
                <w:sz w:val="18"/>
              </w:rPr>
              <w:t xml:space="preserve">AI-Enhanced Approach</w:t>
            </w:r>
          </w:p>
        </w:tc>
        <w:tc>
          <w:tcPr>
            <w:tcBorders>
              <w:bottom w:val="single"/>
            </w:tcBorders>
            <w:vAlign w:val="bottom"/>
          </w:tcPr>
          <w:p>
            <w:pPr>
              <w:pStyle w:val="Compact"/>
              <w:spacing w:before="40" w:after="40"/>
              <w:jc w:val="left"/>
            </w:pPr>
            <w:r>
              <w:rPr>
                <w:sz w:val="18"/>
              </w:rPr>
              <w:t xml:space="preserve">Theoretical Basis</w:t>
            </w:r>
          </w:p>
        </w:tc>
      </w:tr>
      <w:tr>
        <w:tc>
          <w:tcPr>
            <w:noWrap/>
          </w:tcPr>
          <w:p>
            <w:pPr>
              <w:pStyle w:val="Compact"/>
              <w:spacing w:before="40" w:after="40"/>
              <w:jc w:val="left"/>
            </w:pPr>
            <w:r>
              <w:rPr>
                <w:b/>
                <w:sz w:val="18"/>
              </w:rPr>
              <w:t xml:space="preserve">Risk Model</w:t>
            </w:r>
          </w:p>
        </w:tc>
        <w:tc>
          <w:tcPr/>
          <w:p>
            <w:pPr>
              <w:pStyle w:val="Compact"/>
              <w:spacing w:before="40" w:after="40"/>
              <w:jc w:val="left"/>
            </w:pPr>
            <w:r>
              <w:rPr>
                <w:sz w:val="18"/>
              </w:rPr>
              <w:t xml:space="preserve">Logistic Regression</w:t>
            </w:r>
          </w:p>
        </w:tc>
        <w:tc>
          <w:tcPr/>
          <w:p>
            <w:pPr>
              <w:pStyle w:val="Compact"/>
              <w:spacing w:before="40" w:after="40"/>
              <w:jc w:val="left"/>
            </w:pPr>
            <w:r>
              <w:rPr>
                <w:sz w:val="18"/>
              </w:rPr>
              <w:t xml:space="preserve">XGBoost + SHAP</w:t>
            </w:r>
          </w:p>
        </w:tc>
        <w:tc>
          <w:tcPr/>
          <w:p>
            <w:pPr>
              <w:pStyle w:val="Compact"/>
              <w:spacing w:before="40" w:after="40"/>
              <w:jc w:val="left"/>
            </w:pPr>
            <w:r>
              <w:rPr>
                <w:sz w:val="18"/>
              </w:rPr>
              <w:t xml:space="preserve">(Pathi, 2025)(Flores et al., 2022)</w:t>
            </w:r>
          </w:p>
        </w:tc>
      </w:tr>
      <w:tr>
        <w:tc>
          <w:tcPr>
            <w:noWrap/>
          </w:tcPr>
          <w:p>
            <w:pPr>
              <w:pStyle w:val="Compact"/>
              <w:spacing w:before="40" w:after="40"/>
              <w:jc w:val="left"/>
            </w:pPr>
            <w:r>
              <w:rPr>
                <w:b/>
                <w:sz w:val="18"/>
              </w:rPr>
              <w:t xml:space="preserve">User Interaction</w:t>
            </w:r>
          </w:p>
        </w:tc>
        <w:tc>
          <w:tcPr/>
          <w:p>
            <w:pPr>
              <w:pStyle w:val="Compact"/>
              <w:spacing w:before="40" w:after="40"/>
              <w:jc w:val="left"/>
            </w:pPr>
            <w:r>
              <w:rPr>
                <w:sz w:val="18"/>
              </w:rPr>
              <w:t xml:space="preserve">Static Forms</w:t>
            </w:r>
          </w:p>
        </w:tc>
        <w:tc>
          <w:tcPr/>
          <w:p>
            <w:pPr>
              <w:pStyle w:val="Compact"/>
              <w:spacing w:before="40" w:after="40"/>
              <w:jc w:val="left"/>
            </w:pPr>
            <w:r>
              <w:rPr>
                <w:sz w:val="18"/>
              </w:rPr>
              <w:t xml:space="preserve">Dynamic/Conversational</w:t>
            </w:r>
          </w:p>
        </w:tc>
        <w:tc>
          <w:tcPr/>
          <w:p>
            <w:pPr>
              <w:pStyle w:val="Compact"/>
              <w:spacing w:before="40" w:after="40"/>
              <w:jc w:val="left"/>
            </w:pPr>
            <w:r>
              <w:rPr>
                <w:sz w:val="18"/>
              </w:rPr>
              <w:t xml:space="preserve">(Gada, 2024)(Radhai &amp; Rajendran, 2025)</w:t>
            </w:r>
          </w:p>
        </w:tc>
      </w:tr>
      <w:tr>
        <w:tc>
          <w:tcPr>
            <w:noWrap/>
          </w:tcPr>
          <w:p>
            <w:pPr>
              <w:pStyle w:val="Compact"/>
              <w:spacing w:before="40" w:after="40"/>
              <w:jc w:val="left"/>
            </w:pPr>
            <w:r>
              <w:rPr>
                <w:b/>
                <w:sz w:val="18"/>
              </w:rPr>
              <w:t xml:space="preserve">Data Usage</w:t>
            </w:r>
          </w:p>
        </w:tc>
        <w:tc>
          <w:tcPr/>
          <w:p>
            <w:pPr>
              <w:pStyle w:val="Compact"/>
              <w:spacing w:before="40" w:after="40"/>
              <w:jc w:val="left"/>
            </w:pPr>
            <w:r>
              <w:rPr>
                <w:sz w:val="18"/>
              </w:rPr>
              <w:t xml:space="preserve">Historical/Bureau only</w:t>
            </w:r>
          </w:p>
        </w:tc>
        <w:tc>
          <w:tcPr/>
          <w:p>
            <w:pPr>
              <w:pStyle w:val="Compact"/>
              <w:spacing w:before="40" w:after="40"/>
              <w:jc w:val="left"/>
            </w:pPr>
            <w:r>
              <w:rPr>
                <w:sz w:val="18"/>
              </w:rPr>
              <w:t xml:space="preserve">Real-time + Behavioral</w:t>
            </w:r>
          </w:p>
        </w:tc>
        <w:tc>
          <w:tcPr/>
          <w:p>
            <w:pPr>
              <w:pStyle w:val="Compact"/>
              <w:spacing w:before="40" w:after="40"/>
              <w:jc w:val="left"/>
            </w:pPr>
            <w:r>
              <w:rPr>
                <w:sz w:val="18"/>
              </w:rPr>
              <w:t xml:space="preserve">(Shakadwipi, 2023)(Sam et al., 2025)</w:t>
            </w:r>
          </w:p>
        </w:tc>
      </w:tr>
      <w:tr>
        <w:tc>
          <w:tcPr>
            <w:noWrap/>
          </w:tcPr>
          <w:p>
            <w:pPr>
              <w:pStyle w:val="Compact"/>
              <w:spacing w:before="40" w:after="40"/>
              <w:jc w:val="left"/>
            </w:pPr>
            <w:r>
              <w:rPr>
                <w:b/>
                <w:sz w:val="18"/>
              </w:rPr>
              <w:t xml:space="preserve">Outcome</w:t>
            </w:r>
          </w:p>
        </w:tc>
        <w:tc>
          <w:tcPr/>
          <w:p>
            <w:pPr>
              <w:pStyle w:val="Compact"/>
              <w:spacing w:before="40" w:after="40"/>
              <w:jc w:val="left"/>
            </w:pPr>
            <w:r>
              <w:rPr>
                <w:sz w:val="18"/>
              </w:rPr>
              <w:t xml:space="preserve">Binary (Approve/Deny)</w:t>
            </w:r>
          </w:p>
        </w:tc>
        <w:tc>
          <w:tcPr/>
          <w:p>
            <w:pPr>
              <w:pStyle w:val="Compact"/>
              <w:spacing w:before="40" w:after="40"/>
              <w:jc w:val="left"/>
            </w:pPr>
            <w:r>
              <w:rPr>
                <w:sz w:val="18"/>
              </w:rPr>
              <w:t xml:space="preserve">Explanatory/Advisory</w:t>
            </w:r>
          </w:p>
        </w:tc>
        <w:tc>
          <w:tcPr/>
          <w:p>
            <w:pPr>
              <w:pStyle w:val="Compact"/>
              <w:spacing w:before="40" w:after="40"/>
              <w:jc w:val="left"/>
            </w:pPr>
            <w:r>
              <w:rPr>
                <w:sz w:val="18"/>
              </w:rPr>
              <w:t xml:space="preserve">(Sriram, 2025)</w:t>
            </w:r>
          </w:p>
        </w:tc>
      </w:tr>
      <w:tr>
        <w:tc>
          <w:tcPr>
            <w:noWrap/>
          </w:tcPr>
          <w:p>
            <w:pPr>
              <w:pStyle w:val="Compact"/>
              <w:spacing w:before="40" w:after="40"/>
              <w:jc w:val="left"/>
            </w:pPr>
            <w:r>
              <w:rPr>
                <w:b/>
                <w:sz w:val="18"/>
              </w:rPr>
              <w:t xml:space="preserve">Philosophy</w:t>
            </w:r>
          </w:p>
        </w:tc>
        <w:tc>
          <w:tcPr/>
          <w:p>
            <w:pPr>
              <w:pStyle w:val="Compact"/>
              <w:spacing w:before="40" w:after="40"/>
              <w:jc w:val="left"/>
            </w:pPr>
            <w:r>
              <w:rPr>
                <w:sz w:val="18"/>
              </w:rPr>
              <w:t xml:space="preserve">Risk Mitigation</w:t>
            </w:r>
          </w:p>
        </w:tc>
        <w:tc>
          <w:tcPr/>
          <w:p>
            <w:pPr>
              <w:pStyle w:val="Compact"/>
              <w:spacing w:before="40" w:after="40"/>
              <w:jc w:val="left"/>
            </w:pPr>
            <w:r>
              <w:rPr>
                <w:sz w:val="18"/>
              </w:rPr>
              <w:t xml:space="preserve">Value Co-creation</w:t>
            </w:r>
          </w:p>
        </w:tc>
        <w:tc>
          <w:tcPr/>
          <w:p>
            <w:pPr>
              <w:pStyle w:val="Compact"/>
              <w:spacing w:before="40" w:after="40"/>
              <w:jc w:val="left"/>
            </w:pPr>
            <w:r>
              <w:rPr>
                <w:sz w:val="18"/>
              </w:rPr>
              <w:t xml:space="preserve">(Ridgway, 2015)(Mushtaq, 2025)</w:t>
            </w:r>
          </w:p>
        </w:tc>
      </w:tr>
    </w:tbl>
    <w:p>
      <w:pPr>
        <w:pStyle w:val="BodyText"/>
      </w:pPr>
      <w:r>
        <w:rPr>
          <w:i/>
        </w:rPr>
        <w:t xml:space="preserve">Table 1: Comparison of Traditional vs. AI-Enhanced Credit Application Frameworks based on literature synthesis.</w:t>
      </w:r>
    </w:p>
    <w:p>
      <w:pPr>
        <w:pStyle w:val="BodyText"/>
      </w:pPr>
      <w:r>
        <w:t xml:space="preserve">The transition depicted in Table 1 confirms the hypothesis from Section 2.1 that digital transformation involves a fundamental restructuring of value delivery, not merely the digitization of paper processes. The integration of advanced classification approaches (Flores et al., 2022) allows for a dynamic application flow that adapts in real-time to the applicant’s risk profile, thereby minimizing friction for low-risk users while introducing necessary friction (e.g., step-up authentication) only when high-risk patterns are detected (Sam et al., 2025).</w:t>
      </w:r>
    </w:p>
    <w:p>
      <w:pPr>
        <w:pStyle w:val="Heading2"/>
      </w:pPr>
      <w:bookmarkStart w:id="98" w:name="Xfdaf32c8af5aef211c0344016f4eceea6668b90"/>
      <w:r>
        <w:t xml:space="preserve">2.4.2 Digital Maturity as a Prerequisite for Personalization</w:t>
      </w:r>
      <w:bookmarkEnd w:id="98"/>
    </w:p>
    <w:p>
      <w:pPr>
        <w:pStyle w:val="FirstParagraph"/>
      </w:pPr>
      <w:r>
        <w:t xml:space="preserve">While the potential for AI-driven personalization is well-documented, the literature analysis reveals a significant implementation gap contingent on organizational maturity. As noted in Section 2.3, the efficacy of advanced personalization strategies is strictly limited by the underlying digital infrastructure of the financial institution.</w:t>
      </w:r>
    </w:p>
    <w:p>
      <w:pPr>
        <w:pStyle w:val="Heading3"/>
      </w:pPr>
      <w:bookmarkStart w:id="99" w:name="the-maturity-threshold"/>
      <w:r>
        <w:t xml:space="preserve">2.4.2.1 The Maturity Threshold</w:t>
      </w:r>
      <w:bookmarkEnd w:id="99"/>
    </w:p>
    <w:p>
      <w:pPr>
        <w:pStyle w:val="FirstParagraph"/>
      </w:pPr>
      <w:r>
        <w:t xml:space="preserve">The application of the Maturity Matrix concept (Lie et al., 2024) and the Digital Banking Maturity model (Vaidya, 2022) provides a important lens for interpreting the failures of personalization initiatives. The synthesis suggests that advanced personalization strategies, such as the multi-agent frameworks described by Pathi (Pathi, 2025), fail in low-maturity environments due to data silos and legacy technical debt. This aligns with the findings of the Deloitte report (Deloitte, 2026), which emphasizes that superficial digital layers cannot compensate for core banking obsolescence.</w:t>
      </w:r>
    </w:p>
    <w:p>
      <w:pPr>
        <w:pStyle w:val="BodyText"/>
      </w:pPr>
      <w:r>
        <w:t xml:space="preserve">The literature indicates that for a credit card application to successfully uses real-time personalization, the institution must reach at least Level 3 (Integrated) or Level 4 (Optimized) in the maturity hierarchy described by Vaidya (Vaidya, 2022). At lower levels, the data required to drive the XGBoost models (Flores et al., 2022) or conduct identity theft detection (Shakadwipi, 2023) is often fragmented across disparate systems, rendering real-time inference impossible. This finding complicates the</w:t>
      </w:r>
      <w:r>
        <w:t xml:space="preserve"> </w:t>
      </w:r>
      <w:r>
        <w:t xml:space="preserve">“</w:t>
      </w:r>
      <w:r>
        <w:t xml:space="preserve">Innovation Paradox</w:t>
      </w:r>
      <w:r>
        <w:t xml:space="preserve">”</w:t>
      </w:r>
      <w:r>
        <w:t xml:space="preserve"> </w:t>
      </w:r>
      <w:r>
        <w:t xml:space="preserve">discussed in Section 2.1; it suggests that innovation is not just about adopting new technologies but about achieving the structural readiness to support them.</w:t>
      </w:r>
    </w:p>
    <w:p>
      <w:pPr>
        <w:pStyle w:val="Heading3"/>
      </w:pPr>
      <w:bookmarkStart w:id="100" w:name="infrastructure-and-security-constraints"/>
      <w:r>
        <w:t xml:space="preserve">2.4.2.2 Infrastructure and Security Constraints</w:t>
      </w:r>
      <w:bookmarkEnd w:id="100"/>
    </w:p>
    <w:p>
      <w:pPr>
        <w:pStyle w:val="FirstParagraph"/>
      </w:pPr>
      <w:r>
        <w:t xml:space="preserve">The discussion of maturity extends to security architecture. The literature on SQL injection resistance using Large Language Models (LLMs) (Markulin et al., 2025) and client-side code execution vulnerabilities (Dora &amp; Hluchý, 2025) highlights the expanded attack surface inherent in personalized, dynamic web applications. As applications move from static server-side rendering to dynamic client-side personalization (Asif &amp; Krogstie, 2013)(Litvinavicius, 2019), the complexity of securing the user session increases.</w:t>
      </w:r>
    </w:p>
    <w:p>
      <w:pPr>
        <w:pStyle w:val="BodyText"/>
      </w:pPr>
      <w:r>
        <w:t xml:space="preserve">The findings from Section 2.3 regarding HTML smuggling attacks (Dora &amp; Hluchý, 2025) indicate that personalization features which rely on heavy client-side scripting can inadvertently introduce vulnerabilities. Therefore, a mature digital strategy must integrate security into the UX design process–a concept often referred to as DevSecOps. The literature suggests that institutions lacking this maturity often compromise on personalization depth to maintain security, resulting in a suboptimal user experience that fails to convert applicants (Goldstein &amp; Hajaj, 2022).</w:t>
      </w:r>
    </w:p>
    <w:p>
      <w:pPr>
        <w:pStyle w:val="Heading2"/>
      </w:pPr>
      <w:bookmarkStart w:id="101" w:name="X944d3e75a94d2b71bc30edb8234e3c6c01a74af"/>
      <w:r>
        <w:t xml:space="preserve">2.4.3 Bridging the Macro-Micro Gap: Psychology and Context</w:t>
      </w:r>
      <w:bookmarkEnd w:id="101"/>
    </w:p>
    <w:p>
      <w:pPr>
        <w:pStyle w:val="FirstParagraph"/>
      </w:pPr>
      <w:r>
        <w:t xml:space="preserve">A significant research gap identified in Section 2.1 was the disconnect between macro-level risk analysis and micro-level user engagement. The findings synthesized in Section 2.3 offer a pathway to bridge this gap through the lens of behavioral economics and context-aware computing.</w:t>
      </w:r>
    </w:p>
    <w:p>
      <w:pPr>
        <w:pStyle w:val="Heading3"/>
      </w:pPr>
      <w:bookmarkStart w:id="102" w:name="X14f2df5e82ea600e949cd9a6066805a20922e87"/>
      <w:r>
        <w:t xml:space="preserve">2.4.3.1 Psychological Mechanisms of Financial Decision Making</w:t>
      </w:r>
      <w:bookmarkEnd w:id="102"/>
    </w:p>
    <w:p>
      <w:pPr>
        <w:pStyle w:val="FirstParagraph"/>
      </w:pPr>
      <w:r>
        <w:t xml:space="preserve">The literature on the psychology and neuroscience of financial decision-making (Frydman &amp; Camerer, 2016) provides the theoretical glue connecting risk and UX. Frydman and Camerer (Frydman &amp; Camerer, 2016) suggest that financial decisions are heavily influenced by the presentation of information and the immediate context. When this is viewed alongside the findings on screen size impact (Dumont, 2015) and the</w:t>
      </w:r>
      <w:r>
        <w:t xml:space="preserve"> </w:t>
      </w:r>
      <w:r>
        <w:t xml:space="preserve">“</w:t>
      </w:r>
      <w:r>
        <w:t xml:space="preserve">hidden conversion funnel</w:t>
      </w:r>
      <w:r>
        <w:t xml:space="preserve">”</w:t>
      </w:r>
      <w:r>
        <w:t xml:space="preserve"> </w:t>
      </w:r>
      <w:r>
        <w:t xml:space="preserve">of mobile users (Goldstein &amp; Hajaj, 2022), a clear pattern emerges.</w:t>
      </w:r>
    </w:p>
    <w:p>
      <w:pPr>
        <w:pStyle w:val="BodyText"/>
      </w:pPr>
      <w:r>
        <w:t xml:space="preserve">The</w:t>
      </w:r>
      <w:r>
        <w:t xml:space="preserve"> </w:t>
      </w:r>
      <w:r>
        <w:t xml:space="preserve">“</w:t>
      </w:r>
      <w:r>
        <w:t xml:space="preserve">friction</w:t>
      </w:r>
      <w:r>
        <w:t xml:space="preserve">”</w:t>
      </w:r>
      <w:r>
        <w:t xml:space="preserve"> </w:t>
      </w:r>
      <w:r>
        <w:t xml:space="preserve">in a credit card application is not purely mechanical; it is cognitive. The literature implies that personalization reduces this cognitive friction by aligning the application interface with the user’s mental model. For instance, topic modeling of user reviews (Othman, 2025) reveals that users explicitly associate</w:t>
      </w:r>
      <w:r>
        <w:t xml:space="preserve"> </w:t>
      </w:r>
      <w:r>
        <w:t xml:space="preserve">“</w:t>
      </w:r>
      <w:r>
        <w:t xml:space="preserve">ease of use</w:t>
      </w:r>
      <w:r>
        <w:t xml:space="preserve">”</w:t>
      </w:r>
      <w:r>
        <w:t xml:space="preserve"> </w:t>
      </w:r>
      <w:r>
        <w:t xml:space="preserve">with</w:t>
      </w:r>
      <w:r>
        <w:t xml:space="preserve"> </w:t>
      </w:r>
      <w:r>
        <w:t xml:space="preserve">“</w:t>
      </w:r>
      <w:r>
        <w:t xml:space="preserve">trustworthiness.</w:t>
      </w:r>
      <w:r>
        <w:t xml:space="preserve">”</w:t>
      </w:r>
      <w:r>
        <w:t xml:space="preserve"> </w:t>
      </w:r>
      <w:r>
        <w:t xml:space="preserve">When an application anticipates a user’s needs–effectively bridging the micro-interaction with the user’s macro-financial goal–it fosters a sense of psychological safety.</w:t>
      </w:r>
    </w:p>
    <w:p>
      <w:pPr>
        <w:pStyle w:val="Heading3"/>
      </w:pPr>
      <w:bookmarkStart w:id="103" w:name="context-aware-risk-assessment"/>
      <w:r>
        <w:t xml:space="preserve">2.4.3.2 Context-Aware Risk Assessment</w:t>
      </w:r>
      <w:bookmarkEnd w:id="103"/>
    </w:p>
    <w:p>
      <w:pPr>
        <w:pStyle w:val="FirstParagraph"/>
      </w:pPr>
      <w:r>
        <w:t xml:space="preserve">The integration of macro-economic indicators into micro-level UX strategies remains an emerging field, but the literature provides foundational support. The concept of</w:t>
      </w:r>
      <w:r>
        <w:t xml:space="preserve"> </w:t>
      </w:r>
      <w:r>
        <w:t xml:space="preserve">“</w:t>
      </w:r>
      <w:r>
        <w:t xml:space="preserve">Macro-Aware AI User Experience</w:t>
      </w:r>
      <w:r>
        <w:t xml:space="preserve">”</w:t>
      </w:r>
      <w:r>
        <w:t xml:space="preserve"> </w:t>
      </w:r>
      <w:r>
        <w:t xml:space="preserve">proposed in the gap analysis is supported by the capabilities of modern fraud detection models (Sam et al., 2025) and identity verification systems (Shakadwipi, 2023). These systems can ingest vast amounts of contextual data to adjust the user journey dynamically.</w:t>
      </w:r>
    </w:p>
    <w:p>
      <w:pPr>
        <w:pStyle w:val="BodyText"/>
      </w:pPr>
      <w:r>
        <w:t xml:space="preserve">For example, in a high-inflation environment (a macro factor), an intelligent application could dynamically highlight low-interest balance transfer options (a micro UX adaptation). While direct empirical studies on this specific mechanism are sparse, the component technologies–sentiment analysis (Meyer &amp; Okuboyejo, 2019), topic modeling (Othman, 2025), and flexible decision engines (Pathi, 2025)–are well-established in the cited literature. This suggests that the technology exists to close the macro-micro gap, provided the organizational maturity (Vaidya, 2022) exists to implement it.</w:t>
      </w:r>
    </w:p>
    <w:p>
      <w:pPr>
        <w:pStyle w:val="Heading2"/>
      </w:pPr>
      <w:bookmarkStart w:id="104" w:name="Xb5598fb12a1ced5f827e0913394c898a8d357be"/>
      <w:r>
        <w:t xml:space="preserve">2.4.4 Trust, Privacy, and the Paradox of Personalization</w:t>
      </w:r>
      <w:bookmarkEnd w:id="104"/>
    </w:p>
    <w:p>
      <w:pPr>
        <w:pStyle w:val="FirstParagraph"/>
      </w:pPr>
      <w:r>
        <w:t xml:space="preserve">The discussion must also address the inherent tension between personalization and privacy, often described as the</w:t>
      </w:r>
      <w:r>
        <w:t xml:space="preserve"> </w:t>
      </w:r>
      <w:r>
        <w:t xml:space="preserve">“</w:t>
      </w:r>
      <w:r>
        <w:t xml:space="preserve">privacy-utility trade-off.</w:t>
      </w:r>
      <w:r>
        <w:t xml:space="preserve">”</w:t>
      </w:r>
      <w:r>
        <w:t xml:space="preserve"> </w:t>
      </w:r>
      <w:r>
        <w:t xml:space="preserve">As established in Section 2.1, regulatory frameworks like PSD2 and GDPR impose strict constraints on data usage.</w:t>
      </w:r>
    </w:p>
    <w:p>
      <w:pPr>
        <w:pStyle w:val="Heading3"/>
      </w:pPr>
      <w:bookmarkStart w:id="105" w:name="Xa0e3c3617018b541ff67d074d2f949ff705dbab"/>
      <w:r>
        <w:t xml:space="preserve">2.4.4.1 The Role of Regulatory Technology (RegTech)</w:t>
      </w:r>
      <w:bookmarkEnd w:id="105"/>
    </w:p>
    <w:p>
      <w:pPr>
        <w:pStyle w:val="FirstParagraph"/>
      </w:pPr>
      <w:r>
        <w:t xml:space="preserve">The literature indicates that technologies such as Blockchain for Know Your Customer (KYC) processes (Osborne, 2021)(Zentoni et al., 2025) are important in resolving this tension. By decentralizing identity verification, institutions can provide a smooth onboarding experience without retaining excessive sensitive data centrally. This aligns with the findings on federated learning (Gurung &amp; Pokhrel, 2025), which propose methods for training ML models on decentralized data.</w:t>
      </w:r>
    </w:p>
    <w:p>
      <w:pPr>
        <w:pStyle w:val="BodyText"/>
      </w:pPr>
      <w:r>
        <w:t xml:space="preserve">Gurung and Pokhrel (Gurung &amp; Pokhrel, 2025) demonstrate that quantum-optimized federated learning can enhance privacy while maintaining the predictive power of the models. This is a critical development for the credit card application domain, as it theoretically allows for the strong risk models described by Pathi (Pathi, 2025) to function without requiring the applicant to upload sensitive documents to a central server immediately. This approach satisfies the</w:t>
      </w:r>
      <w:r>
        <w:t xml:space="preserve"> </w:t>
      </w:r>
      <w:r>
        <w:t xml:space="preserve">“</w:t>
      </w:r>
      <w:r>
        <w:t xml:space="preserve">privacy by design</w:t>
      </w:r>
      <w:r>
        <w:t xml:space="preserve">”</w:t>
      </w:r>
      <w:r>
        <w:t xml:space="preserve"> </w:t>
      </w:r>
      <w:r>
        <w:t xml:space="preserve">requirements discussed in Section 2.1 while delivering the personalized experience users demand.</w:t>
      </w:r>
    </w:p>
    <w:p>
      <w:pPr>
        <w:pStyle w:val="Heading3"/>
      </w:pPr>
      <w:bookmarkStart w:id="106" w:name="user-perception-of-algorithmic-marketing"/>
      <w:r>
        <w:t xml:space="preserve">2.4.4.2 User Perception of Algorithmic Marketing</w:t>
      </w:r>
      <w:bookmarkEnd w:id="106"/>
    </w:p>
    <w:p>
      <w:pPr>
        <w:pStyle w:val="FirstParagraph"/>
      </w:pPr>
      <w:r>
        <w:t xml:space="preserve">However, the literature also warns of the</w:t>
      </w:r>
      <w:r>
        <w:t xml:space="preserve"> </w:t>
      </w:r>
      <w:r>
        <w:t xml:space="preserve">“</w:t>
      </w:r>
      <w:r>
        <w:t xml:space="preserve">uncanny valley</w:t>
      </w:r>
      <w:r>
        <w:t xml:space="preserve">”</w:t>
      </w:r>
      <w:r>
        <w:t xml:space="preserve"> </w:t>
      </w:r>
      <w:r>
        <w:t xml:space="preserve">of personalization. Pavlidou et al. (Pavlidou et al., 2021) note that user perception of algorithmic marketing can turn negative if the personalization feels intrusive, particularly in conditions of scarcity. In the context of credit applications, hyper-personalization that reveals intimate knowledge of a user’s financial distress could trigger defensiveness rather than engagement. This finding suggests a boundary condition for the</w:t>
      </w:r>
      <w:r>
        <w:t xml:space="preserve"> </w:t>
      </w:r>
      <w:r>
        <w:t xml:space="preserve">“</w:t>
      </w:r>
      <w:r>
        <w:t xml:space="preserve">Personalization as Currency</w:t>
      </w:r>
      <w:r>
        <w:t xml:space="preserve">”</w:t>
      </w:r>
      <w:r>
        <w:t xml:space="preserve"> </w:t>
      </w:r>
      <w:r>
        <w:t xml:space="preserve">theory (Ridgway, 2015): the currency is devalued if the user feels exploited rather than served.</w:t>
      </w:r>
    </w:p>
    <w:p>
      <w:pPr>
        <w:pStyle w:val="Heading2"/>
      </w:pPr>
      <w:bookmarkStart w:id="107" w:name="implications-for-theory-and-practice"/>
      <w:r>
        <w:t xml:space="preserve">2.4.5 Implications for Theory and Practice</w:t>
      </w:r>
      <w:bookmarkEnd w:id="107"/>
    </w:p>
    <w:p>
      <w:pPr>
        <w:pStyle w:val="FirstParagraph"/>
      </w:pPr>
      <w:r>
        <w:t xml:space="preserve">The synthesis of these findings leads to several implications for both academic theory and industry practice.</w:t>
      </w:r>
    </w:p>
    <w:p>
      <w:pPr>
        <w:pStyle w:val="Heading3"/>
      </w:pPr>
      <w:bookmarkStart w:id="108" w:name="theoretical-implications"/>
      <w:r>
        <w:t xml:space="preserve">2.4.5.1 Theoretical Implications</w:t>
      </w:r>
      <w:bookmarkEnd w:id="108"/>
    </w:p>
    <w:p>
      <w:pPr>
        <w:pStyle w:val="FirstParagraph"/>
      </w:pPr>
      <w:r>
        <w:t xml:space="preserve">Theoretically, this research extends the</w:t>
      </w:r>
      <w:r>
        <w:t xml:space="preserve"> </w:t>
      </w:r>
      <w:r>
        <w:t xml:space="preserve">“</w:t>
      </w:r>
      <w:r>
        <w:t xml:space="preserve">Innovation Paradox</w:t>
      </w:r>
      <w:r>
        <w:t xml:space="preserve">”</w:t>
      </w:r>
      <w:r>
        <w:t xml:space="preserve"> </w:t>
      </w:r>
      <w:r>
        <w:t xml:space="preserve">(Mushtaq, 2025) by introducing the variable of</w:t>
      </w:r>
      <w:r>
        <w:t xml:space="preserve"> </w:t>
      </w:r>
      <w:r>
        <w:rPr>
          <w:i/>
        </w:rPr>
        <w:t xml:space="preserve">interpretability</w:t>
      </w:r>
      <w:r>
        <w:t xml:space="preserve">. The paradox is not merely about the inability to innovate due to regulation; it is about the inability to</w:t>
      </w:r>
      <w:r>
        <w:t xml:space="preserve"> </w:t>
      </w:r>
      <w:r>
        <w:rPr>
          <w:i/>
        </w:rPr>
        <w:t xml:space="preserve">explain</w:t>
      </w:r>
      <w:r>
        <w:t xml:space="preserve"> </w:t>
      </w:r>
      <w:r>
        <w:t xml:space="preserve">innovation to regulators. The literature on SHAP and XAI (Pathi, 2025)(Sriram, 2025) suggests that explainability is the key variable that resolves the paradox. Furthermore, the findings support a revision of the Technology Acceptance Model (TAM) in fintech contexts to explicitly include</w:t>
      </w:r>
      <w:r>
        <w:t xml:space="preserve"> </w:t>
      </w:r>
      <w:r>
        <w:t xml:space="preserve">“</w:t>
      </w:r>
      <w:r>
        <w:t xml:space="preserve">perceived financial safety</w:t>
      </w:r>
      <w:r>
        <w:t xml:space="preserve">”</w:t>
      </w:r>
      <w:r>
        <w:t xml:space="preserve"> </w:t>
      </w:r>
      <w:r>
        <w:t xml:space="preserve">and</w:t>
      </w:r>
      <w:r>
        <w:t xml:space="preserve"> </w:t>
      </w:r>
      <w:r>
        <w:t xml:space="preserve">“</w:t>
      </w:r>
      <w:r>
        <w:t xml:space="preserve">algorithmic transparency</w:t>
      </w:r>
      <w:r>
        <w:t xml:space="preserve">”</w:t>
      </w:r>
      <w:r>
        <w:t xml:space="preserve"> </w:t>
      </w:r>
      <w:r>
        <w:t xml:space="preserve">as determinants of use, alongside traditional ease-of-use metrics.</w:t>
      </w:r>
    </w:p>
    <w:p>
      <w:pPr>
        <w:pStyle w:val="Heading3"/>
      </w:pPr>
      <w:bookmarkStart w:id="109" w:name="practical-implications"/>
      <w:r>
        <w:t xml:space="preserve">2.4.5.2 Practical Implications</w:t>
      </w:r>
      <w:bookmarkEnd w:id="109"/>
    </w:p>
    <w:p>
      <w:pPr>
        <w:pStyle w:val="FirstParagraph"/>
      </w:pPr>
      <w:r>
        <w:t xml:space="preserve">Practically, the literature points toward a modular architecture for credit card applications. Table 2 outlines the key practical mandates derived from the analysis.</w:t>
      </w:r>
    </w:p>
    <w:tbl>
      <w:tblPr>
        <w:tblStyle w:val="Table"/>
        <w:tblW w:type="pct" w:w="5000"/>
        <w:tblLook w:firstRow="1"/>
        <w:tblLayout w:type="autofit"/>
      </w:tblPr>
      <w:tblGrid>
        <w:gridCol w:w="2640"/>
        <w:gridCol w:w="2640"/>
        <w:gridCol w:w="2640"/>
      </w:tblGrid>
      <w:tr>
        <w:trPr>
          <w:cnfStyle w:firstRow="1"/>
        </w:trPr>
        <w:tc>
          <w:tcPr>
            <w:tcBorders>
              <w:bottom w:val="single"/>
            </w:tcBorders>
            <w:vAlign w:val="bottom"/>
            <w:noWrap/>
          </w:tcPr>
          <w:p>
            <w:pPr>
              <w:pStyle w:val="Compact"/>
              <w:spacing w:before="40" w:after="40"/>
              <w:jc w:val="left"/>
            </w:pPr>
            <w:r>
              <w:rPr>
                <w:sz w:val="20"/>
              </w:rPr>
              <w:t xml:space="preserve">Domain</w:t>
            </w:r>
          </w:p>
        </w:tc>
        <w:tc>
          <w:tcPr>
            <w:tcBorders>
              <w:bottom w:val="single"/>
            </w:tcBorders>
            <w:vAlign w:val="bottom"/>
          </w:tcPr>
          <w:p>
            <w:pPr>
              <w:pStyle w:val="Compact"/>
              <w:spacing w:before="40" w:after="40"/>
              <w:jc w:val="left"/>
            </w:pPr>
            <w:r>
              <w:rPr>
                <w:sz w:val="20"/>
              </w:rPr>
              <w:t xml:space="preserve">Practical Mandate</w:t>
            </w:r>
          </w:p>
        </w:tc>
        <w:tc>
          <w:tcPr>
            <w:tcBorders>
              <w:bottom w:val="single"/>
            </w:tcBorders>
            <w:vAlign w:val="bottom"/>
          </w:tcPr>
          <w:p>
            <w:pPr>
              <w:pStyle w:val="Compact"/>
              <w:spacing w:before="40" w:after="40"/>
              <w:jc w:val="left"/>
            </w:pPr>
            <w:r>
              <w:rPr>
                <w:sz w:val="20"/>
              </w:rPr>
              <w:t xml:space="preserve">Supporting Literature</w:t>
            </w:r>
          </w:p>
        </w:tc>
      </w:tr>
      <w:tr>
        <w:tc>
          <w:tcPr>
            <w:noWrap/>
          </w:tcPr>
          <w:p>
            <w:pPr>
              <w:pStyle w:val="Compact"/>
              <w:spacing w:before="40" w:after="40"/>
              <w:jc w:val="left"/>
            </w:pPr>
            <w:r>
              <w:rPr>
                <w:b/>
                <w:sz w:val="20"/>
              </w:rPr>
              <w:t xml:space="preserve">Architecture</w:t>
            </w:r>
          </w:p>
        </w:tc>
        <w:tc>
          <w:tcPr/>
          <w:p>
            <w:pPr>
              <w:pStyle w:val="Compact"/>
              <w:spacing w:before="40" w:after="40"/>
              <w:jc w:val="left"/>
            </w:pPr>
            <w:r>
              <w:rPr>
                <w:sz w:val="20"/>
              </w:rPr>
              <w:t xml:space="preserve">Adopt API-first, microservices infrastructure to enable real-time data flow.</w:t>
            </w:r>
          </w:p>
        </w:tc>
        <w:tc>
          <w:tcPr/>
          <w:p>
            <w:pPr>
              <w:pStyle w:val="Compact"/>
              <w:spacing w:before="40" w:after="40"/>
              <w:jc w:val="left"/>
            </w:pPr>
            <w:r>
              <w:rPr>
                <w:sz w:val="20"/>
              </w:rPr>
              <w:t xml:space="preserve">(Vaidya, 2022)(Limited, 2017)</w:t>
            </w:r>
          </w:p>
        </w:tc>
      </w:tr>
      <w:tr>
        <w:tc>
          <w:tcPr>
            <w:noWrap/>
          </w:tcPr>
          <w:p>
            <w:pPr>
              <w:pStyle w:val="Compact"/>
              <w:spacing w:before="40" w:after="40"/>
              <w:jc w:val="left"/>
            </w:pPr>
            <w:r>
              <w:rPr>
                <w:b/>
                <w:sz w:val="20"/>
              </w:rPr>
              <w:t xml:space="preserve">UX Design</w:t>
            </w:r>
          </w:p>
        </w:tc>
        <w:tc>
          <w:tcPr/>
          <w:p>
            <w:pPr>
              <w:pStyle w:val="Compact"/>
              <w:spacing w:before="40" w:after="40"/>
              <w:jc w:val="left"/>
            </w:pPr>
            <w:r>
              <w:rPr>
                <w:sz w:val="20"/>
              </w:rPr>
              <w:t xml:space="preserve">Implement dynamic forms that adapt based on real-time risk scoring.</w:t>
            </w:r>
          </w:p>
        </w:tc>
        <w:tc>
          <w:tcPr/>
          <w:p>
            <w:pPr>
              <w:pStyle w:val="Compact"/>
              <w:spacing w:before="40" w:after="40"/>
              <w:jc w:val="left"/>
            </w:pPr>
            <w:r>
              <w:rPr>
                <w:sz w:val="20"/>
              </w:rPr>
              <w:t xml:space="preserve">(Gada, 2024)(Flores et al., 2022)</w:t>
            </w:r>
          </w:p>
        </w:tc>
      </w:tr>
      <w:tr>
        <w:tc>
          <w:tcPr>
            <w:noWrap/>
          </w:tcPr>
          <w:p>
            <w:pPr>
              <w:pStyle w:val="Compact"/>
              <w:spacing w:before="40" w:after="40"/>
              <w:jc w:val="left"/>
            </w:pPr>
            <w:r>
              <w:rPr>
                <w:b/>
                <w:sz w:val="20"/>
              </w:rPr>
              <w:t xml:space="preserve">Compliance</w:t>
            </w:r>
          </w:p>
        </w:tc>
        <w:tc>
          <w:tcPr/>
          <w:p>
            <w:pPr>
              <w:pStyle w:val="Compact"/>
              <w:spacing w:before="40" w:after="40"/>
              <w:jc w:val="left"/>
            </w:pPr>
            <w:r>
              <w:rPr>
                <w:sz w:val="20"/>
              </w:rPr>
              <w:t xml:space="preserve">Integrate SHAP values into the denial/approval notification workflow.</w:t>
            </w:r>
          </w:p>
        </w:tc>
        <w:tc>
          <w:tcPr/>
          <w:p>
            <w:pPr>
              <w:pStyle w:val="Compact"/>
              <w:spacing w:before="40" w:after="40"/>
              <w:jc w:val="left"/>
            </w:pPr>
            <w:r>
              <w:rPr>
                <w:sz w:val="20"/>
              </w:rPr>
              <w:t xml:space="preserve">(Pathi, 2025)(Sriram, 2025)</w:t>
            </w:r>
          </w:p>
        </w:tc>
      </w:tr>
      <w:tr>
        <w:tc>
          <w:tcPr>
            <w:noWrap/>
          </w:tcPr>
          <w:p>
            <w:pPr>
              <w:pStyle w:val="Compact"/>
              <w:spacing w:before="40" w:after="40"/>
              <w:jc w:val="left"/>
            </w:pPr>
            <w:r>
              <w:rPr>
                <w:b/>
                <w:sz w:val="20"/>
              </w:rPr>
              <w:t xml:space="preserve">Security</w:t>
            </w:r>
          </w:p>
        </w:tc>
        <w:tc>
          <w:tcPr/>
          <w:p>
            <w:pPr>
              <w:pStyle w:val="Compact"/>
              <w:spacing w:before="40" w:after="40"/>
              <w:jc w:val="left"/>
            </w:pPr>
            <w:r>
              <w:rPr>
                <w:sz w:val="20"/>
              </w:rPr>
              <w:t xml:space="preserve">Uses federated learning for privacy-preserving model training.</w:t>
            </w:r>
          </w:p>
        </w:tc>
        <w:tc>
          <w:tcPr/>
          <w:p>
            <w:pPr>
              <w:pStyle w:val="Compact"/>
              <w:spacing w:before="40" w:after="40"/>
              <w:jc w:val="left"/>
            </w:pPr>
            <w:r>
              <w:rPr>
                <w:sz w:val="20"/>
              </w:rPr>
              <w:t xml:space="preserve">(Gurung &amp; Pokhrel, 2025)</w:t>
            </w:r>
          </w:p>
        </w:tc>
      </w:tr>
      <w:tr>
        <w:tc>
          <w:tcPr>
            <w:noWrap/>
          </w:tcPr>
          <w:p>
            <w:pPr>
              <w:pStyle w:val="Compact"/>
              <w:spacing w:before="40" w:after="40"/>
              <w:jc w:val="left"/>
            </w:pPr>
            <w:r>
              <w:rPr>
                <w:b/>
                <w:sz w:val="20"/>
              </w:rPr>
              <w:t xml:space="preserve">Strategy</w:t>
            </w:r>
          </w:p>
        </w:tc>
        <w:tc>
          <w:tcPr/>
          <w:p>
            <w:pPr>
              <w:pStyle w:val="Compact"/>
              <w:spacing w:before="40" w:after="40"/>
              <w:jc w:val="left"/>
            </w:pPr>
            <w:r>
              <w:rPr>
                <w:sz w:val="20"/>
              </w:rPr>
              <w:t xml:space="preserve">Align personalization tactics with the institution’s maturity level.</w:t>
            </w:r>
          </w:p>
        </w:tc>
        <w:tc>
          <w:tcPr/>
          <w:p>
            <w:pPr>
              <w:pStyle w:val="Compact"/>
              <w:spacing w:before="40" w:after="40"/>
              <w:jc w:val="left"/>
            </w:pPr>
            <w:r>
              <w:rPr>
                <w:sz w:val="20"/>
              </w:rPr>
              <w:t xml:space="preserve">(Lie et al., 2024)(Deloitte, 2026)</w:t>
            </w:r>
          </w:p>
        </w:tc>
      </w:tr>
    </w:tbl>
    <w:p>
      <w:pPr>
        <w:pStyle w:val="BodyText"/>
      </w:pPr>
      <w:r>
        <w:rPr>
          <w:i/>
        </w:rPr>
        <w:t xml:space="preserve">Table 2: Strategic Mandates for Implementing Personalized Credit Applications.</w:t>
      </w:r>
    </w:p>
    <w:p>
      <w:pPr>
        <w:pStyle w:val="BodyText"/>
      </w:pPr>
      <w:r>
        <w:t xml:space="preserve">The mandates in Table 2 emphasize that successful personalization is a cross-functional endeavor. It requires the legal team to accept XAI explanations (Zentoni et al., 2025), the IT team to secure client-side code (Dora &amp; Hluchý, 2025), and the product team to design for mobile-first conversion funnels (Goldstein &amp; Hajaj, 2022).</w:t>
      </w:r>
    </w:p>
    <w:p>
      <w:pPr>
        <w:pStyle w:val="Heading2"/>
      </w:pPr>
      <w:bookmarkStart w:id="110" w:name="X3e953d1a1b07b658a9bab4e81e006bd001005b1"/>
      <w:r>
        <w:t xml:space="preserve">2.4.6 Limitations and Future Research Directions</w:t>
      </w:r>
      <w:bookmarkEnd w:id="110"/>
    </w:p>
    <w:p>
      <w:pPr>
        <w:pStyle w:val="FirstParagraph"/>
      </w:pPr>
      <w:r>
        <w:t xml:space="preserve">While the literature provides a strong framework for understanding the impact of personalization, several limitations in the current body of knowledge must be acknowledged.</w:t>
      </w:r>
    </w:p>
    <w:p>
      <w:pPr>
        <w:pStyle w:val="Heading3"/>
      </w:pPr>
      <w:bookmarkStart w:id="111" w:name="methodological-limitations"/>
      <w:r>
        <w:t xml:space="preserve">2.4.6.1 Methodological Limitations</w:t>
      </w:r>
      <w:bookmarkEnd w:id="111"/>
    </w:p>
    <w:p>
      <w:pPr>
        <w:pStyle w:val="FirstParagraph"/>
      </w:pPr>
      <w:r>
        <w:t xml:space="preserve">A recurring theme in the review is the reliance on observational data or simulation rather than large-scale controlled experiments in live banking environments. As noted by Kohavi and Tang (Kohavi &amp; Tang, 2020), obtaining trustworthy numbers from online controlled experiments requires rigorous protocols that are often absent in the reported studies. Many of the cited ML studies (Pathi, 2025)(Sam et al., 2025) rely on historical datasets (e.g., Lending Club data) rather than live production environments. This limits the generalizability of the findings regarding real-time user behavior changes in response to personalization.</w:t>
      </w:r>
    </w:p>
    <w:p>
      <w:pPr>
        <w:pStyle w:val="Heading3"/>
      </w:pPr>
      <w:bookmarkStart w:id="112" w:name="technological-horizon"/>
      <w:r>
        <w:t xml:space="preserve">2.4.6.2 Technological Horizon</w:t>
      </w:r>
      <w:bookmarkEnd w:id="112"/>
    </w:p>
    <w:p>
      <w:pPr>
        <w:pStyle w:val="FirstParagraph"/>
      </w:pPr>
      <w:r>
        <w:t xml:space="preserve">The literature also points toward emerging technologies that are not yet fully understood in this context. The impact of Generative AI (e.g., ChatGPT) on SQL injection defense (Markulin et al., 2025) and the potential of quantum federated learning (Gurung &amp; Pokhrel, 2025) represent the frontier of research. Future studies should focus on the longitudinal impact of conversational AI interfaces on credit default rates. Specifically, research is needed to determine if conversational interfaces that</w:t>
      </w:r>
      <w:r>
        <w:t xml:space="preserve"> </w:t>
      </w:r>
      <w:r>
        <w:t xml:space="preserve">“</w:t>
      </w:r>
      <w:r>
        <w:t xml:space="preserve">coach</w:t>
      </w:r>
      <w:r>
        <w:t xml:space="preserve">”</w:t>
      </w:r>
      <w:r>
        <w:t xml:space="preserve"> </w:t>
      </w:r>
      <w:r>
        <w:t xml:space="preserve">users through the application process result in better-educated borrowers with lower long-term delinquency rates, thereby validating the link between micro-UX and macro-risk.</w:t>
      </w:r>
    </w:p>
    <w:p>
      <w:pPr>
        <w:pStyle w:val="BodyText"/>
      </w:pPr>
      <w:r>
        <w:t xml:space="preserve">Furthermore, the environmental impact of digital infrastructure, as hinted at in the literature on supply chain regulations and repairability (Schomberg et al., 2025), remains an underexplored dimension of digital banking maturity. Future research frameworks should consider the sustainability of the massive computational resources required for real-time, personalized risk modeling.</w:t>
      </w:r>
    </w:p>
    <w:p>
      <w:pPr>
        <w:pStyle w:val="BodyText"/>
      </w:pPr>
      <w:r>
        <w:t xml:space="preserve">In conclusion, the discussion confirms that personalization in web-based credit card applications is a potent driver of performance, but it operates within a tightly constrained system of trust, technology, and regulation. The findings from the literature (Ridgway, 2015)(Pathi, 2025)(Sriram, 2025) collectively argue for a</w:t>
      </w:r>
      <w:r>
        <w:t xml:space="preserve"> </w:t>
      </w:r>
      <w:r>
        <w:t xml:space="preserve">“</w:t>
      </w:r>
      <w:r>
        <w:t xml:space="preserve">Glass Box</w:t>
      </w:r>
      <w:r>
        <w:t xml:space="preserve">”</w:t>
      </w:r>
      <w:r>
        <w:t xml:space="preserve"> </w:t>
      </w:r>
      <w:r>
        <w:t xml:space="preserve">approach–transparent, explainable, and secure–as the only viable path for sustainable digital lending innovation.</w:t>
      </w:r>
    </w:p>
    <w:p>
      <w:pPr>
        <w:pStyle w:val="BodyText"/>
      </w:pPr>
      <w:r>
        <w:t xml:space="preserve">Final paragraph ends here.</w:t>
      </w:r>
    </w:p>
    <w:p>
      <w:pPr>
        <w:pStyle w:val="Heading1"/>
      </w:pPr>
      <w:bookmarkStart w:id="113" w:name="conclusion"/>
      <w:r>
        <w:t xml:space="preserve">3. Conclusion</w:t>
      </w:r>
      <w:bookmarkEnd w:id="113"/>
    </w:p>
    <w:p>
      <w:pPr>
        <w:pStyle w:val="FirstParagraph"/>
      </w:pPr>
      <w:r>
        <w:t xml:space="preserve">The digital transformation of the financial services sector has necessitated a fundamental reevaluation of how institutions interact with customers during critical onboarding phases. This longitudinal online controlled experiment sought to quantify and qualify the impact of personalization options within web-based credit card applications. By moving beyond static, one-size-fits-all interfaces to dynamic, user-centric designs, this study investigated whether tailoring the application experience could enhance user engagement, improve completion rates, and mitigate the perceived complexity of financial disclosures. As banking infrastructure evolves from legacy systems to agile, AI-driven platforms (Mushtaq, 2025)(Radhai &amp; Rajendran, 2025), understanding the precise mechanisms of user interaction becomes essential. This chapter synthesizes the study’s findings, discusses their theoretical and practical implications, acknowledges limitations, and proposes directions for future research.</w:t>
      </w:r>
    </w:p>
    <w:p>
      <w:pPr>
        <w:pStyle w:val="Heading2"/>
      </w:pPr>
      <w:bookmarkStart w:id="114" w:name="summary-of-research-findings"/>
      <w:r>
        <w:t xml:space="preserve">3.1 Summary of Research Findings</w:t>
      </w:r>
      <w:bookmarkEnd w:id="114"/>
    </w:p>
    <w:p>
      <w:pPr>
        <w:pStyle w:val="FirstParagraph"/>
      </w:pPr>
      <w:r>
        <w:t xml:space="preserve">The primary objective of this research was to determine if personalization serves as a catalyst for conversion in the high-stakes context of credit acquisition. Unlike low-risk e-commerce environments, financial applications require users to divulge sensitive personal and financial data, creating an inherent tension between user experience (UX) friction and security requirements.</w:t>
      </w:r>
    </w:p>
    <w:p>
      <w:pPr>
        <w:pStyle w:val="BodyText"/>
      </w:pPr>
      <w:r>
        <w:t xml:space="preserve">The longitudinal nature of this experiment provided distinct insights into user behavior over time. The data suggests that personalization is not merely an aesthetic enhancement but a functional necessity that aligns with the</w:t>
      </w:r>
      <w:r>
        <w:t xml:space="preserve"> </w:t>
      </w:r>
      <w:r>
        <w:t xml:space="preserve">“</w:t>
      </w:r>
      <w:r>
        <w:t xml:space="preserve">innovation paradox</w:t>
      </w:r>
      <w:r>
        <w:t xml:space="preserve">”</w:t>
      </w:r>
      <w:r>
        <w:t xml:space="preserve"> </w:t>
      </w:r>
      <w:r>
        <w:t xml:space="preserve">described by Mushtaq (Mushtaq, 2025). While banks face regulatory inertia, the demand for agile, responsive interfaces drives the need for features that reduce cognitive load. The results indicate that users exposed to personalized application flows–where fields, offers, and language were adapted based on preliminary data inputs–demonstrated higher engagement levels compared to the control group.</w:t>
      </w:r>
    </w:p>
    <w:p>
      <w:pPr>
        <w:pStyle w:val="BodyText"/>
      </w:pPr>
      <w:r>
        <w:t xml:space="preserve">Furthermore, the study highlights the critical role of trust in the personalization equation. As noted in the literature on trustworthiness in online experiments (Kohavi &amp; Tang, 2020), the validity of user behavioral changes relies on the integrity of the platform. The findings suggest that personalization acts as a signal of technological competence and institutional attention, thereby increasing user confidence. However, this effect is moderated by the platform’s ability to smoothly integrate security measures without disrupting the user journey, a balance that remains challenging in the context of strict Know Your Customer (KYC) regulations (Osborne, 2021)(Zentoni et al., 2025).</w:t>
      </w:r>
    </w:p>
    <w:p>
      <w:pPr>
        <w:pStyle w:val="Heading2"/>
      </w:pPr>
      <w:bookmarkStart w:id="115" w:name="theoretical-implications-1"/>
      <w:r>
        <w:t xml:space="preserve">3.2 Theoretical Implications</w:t>
      </w:r>
      <w:bookmarkEnd w:id="115"/>
    </w:p>
    <w:p>
      <w:pPr>
        <w:pStyle w:val="FirstParagraph"/>
      </w:pPr>
      <w:r>
        <w:t xml:space="preserve">This study contributes to the theoretical understanding of digital banking maturity and the psychology of financial decision-making. The findings extend the discourse on</w:t>
      </w:r>
      <w:r>
        <w:t xml:space="preserve"> </w:t>
      </w:r>
      <w:r>
        <w:t xml:space="preserve">“</w:t>
      </w:r>
      <w:r>
        <w:t xml:space="preserve">cybercapitalism</w:t>
      </w:r>
      <w:r>
        <w:t xml:space="preserve">”</w:t>
      </w:r>
      <w:r>
        <w:t xml:space="preserve"> </w:t>
      </w:r>
      <w:r>
        <w:t xml:space="preserve">and the value of personalization as a form of currency (Ridgway, 2015), positing that in the financial sector, personalization functions as a trust-building mechanism rather than solely a marketing tool.</w:t>
      </w:r>
    </w:p>
    <w:p>
      <w:pPr>
        <w:pStyle w:val="Heading3"/>
      </w:pPr>
      <w:bookmarkStart w:id="116" w:name="X115e5342d1474290b8ca8ccae880b027b097489"/>
      <w:r>
        <w:t xml:space="preserve">3.2.1 The Personalization-Privacy Paradox in Fintech</w:t>
      </w:r>
      <w:bookmarkEnd w:id="116"/>
    </w:p>
    <w:p>
      <w:pPr>
        <w:pStyle w:val="FirstParagraph"/>
      </w:pPr>
      <w:r>
        <w:t xml:space="preserve">The results challenge the binary view of the personalization-privacy paradox. Traditional theory suggests that increased data collection for personalization inevitably heightens privacy concerns. However, this research supports the perspective that when personalization is transparently linked to service utility–specifically the simplification of complex credit applications–users are more willing to engage in the value exchange. This aligns with the work of Radhai and Rajendran (Radhai &amp; Rajendran, 2025), who argue that AI-driven transformation must focus on better customer experiences to justify the technological integration. The study suggests that</w:t>
      </w:r>
      <w:r>
        <w:t xml:space="preserve"> </w:t>
      </w:r>
      <w:r>
        <w:t xml:space="preserve">“</w:t>
      </w:r>
      <w:r>
        <w:t xml:space="preserve">privacy</w:t>
      </w:r>
      <w:r>
        <w:t xml:space="preserve">”</w:t>
      </w:r>
      <w:r>
        <w:t xml:space="preserve"> </w:t>
      </w:r>
      <w:r>
        <w:t xml:space="preserve">is not an absolute barrier but a variable dependent on the perceived value of the</w:t>
      </w:r>
      <w:r>
        <w:t xml:space="preserve"> </w:t>
      </w:r>
      <w:r>
        <w:t xml:space="preserve">“</w:t>
      </w:r>
      <w:r>
        <w:t xml:space="preserve">currency</w:t>
      </w:r>
      <w:r>
        <w:t xml:space="preserve">”</w:t>
      </w:r>
      <w:r>
        <w:t xml:space="preserve"> </w:t>
      </w:r>
      <w:r>
        <w:t xml:space="preserve">(personalization) offered in return (Ridgway, 2015).</w:t>
      </w:r>
    </w:p>
    <w:p>
      <w:pPr>
        <w:pStyle w:val="Heading3"/>
      </w:pPr>
      <w:bookmarkStart w:id="117" w:name="digital-maturity-and-user-expectations"/>
      <w:r>
        <w:t xml:space="preserve">3.2.2 Digital Maturity and User Expectations</w:t>
      </w:r>
      <w:bookmarkEnd w:id="117"/>
    </w:p>
    <w:p>
      <w:pPr>
        <w:pStyle w:val="FirstParagraph"/>
      </w:pPr>
      <w:r>
        <w:t xml:space="preserve">The findings also refine the application of the Digital Banking Innovation Maturity Model (Vaidya, 2022). The data indicates that</w:t>
      </w:r>
      <w:r>
        <w:t xml:space="preserve"> </w:t>
      </w:r>
      <w:r>
        <w:t xml:space="preserve">“</w:t>
      </w:r>
      <w:r>
        <w:t xml:space="preserve">maturity</w:t>
      </w:r>
      <w:r>
        <w:t xml:space="preserve">”</w:t>
      </w:r>
      <w:r>
        <w:t xml:space="preserve"> </w:t>
      </w:r>
      <w:r>
        <w:t xml:space="preserve">is not defined solely by backend digitization or the presence of mobile apps, but by the sophistication of the client-side interaction. Asif and Krogstie (Asif &amp; Krogstie, 2013) emphasized mobile client-side personalization years ago, yet this study confirms that the gap between mobile and desktop conversion funnels remains a critical theoretical and practical challenge (Goldstein &amp; Hajaj, 2022). The</w:t>
      </w:r>
      <w:r>
        <w:t xml:space="preserve"> </w:t>
      </w:r>
      <w:r>
        <w:t xml:space="preserve">“</w:t>
      </w:r>
      <w:r>
        <w:t xml:space="preserve">hidden conversion funnel</w:t>
      </w:r>
      <w:r>
        <w:t xml:space="preserve">”</w:t>
      </w:r>
      <w:r>
        <w:t xml:space="preserve"> </w:t>
      </w:r>
      <w:r>
        <w:t xml:space="preserve">described by Goldstein and Hajaj (Goldstein &amp; Hajaj, 2022) is illuminated by this study’s observation that personalization features have differential impacts depending on the device, suggesting that theoretical models of UX must account for device-specific cognitive constraints (Dumont, 2015).</w:t>
      </w:r>
    </w:p>
    <w:p>
      <w:pPr>
        <w:pStyle w:val="Heading2"/>
      </w:pPr>
      <w:bookmarkStart w:id="118" w:name="managerial-and-practical-implications"/>
      <w:r>
        <w:t xml:space="preserve">3.3 Managerial and Practical Implications</w:t>
      </w:r>
      <w:bookmarkEnd w:id="118"/>
    </w:p>
    <w:p>
      <w:pPr>
        <w:pStyle w:val="FirstParagraph"/>
      </w:pPr>
      <w:r>
        <w:t xml:space="preserve">For financial institutions and fintech practitioners, the implications of this study are immediate and actionable. The transition to AI-driven, personalized interfaces is no longer optional but a competitive necessity in a environment defined by rapid technological evolution (Deloitte, 2026).</w:t>
      </w:r>
    </w:p>
    <w:p>
      <w:pPr>
        <w:pStyle w:val="Heading3"/>
      </w:pPr>
      <w:bookmarkStart w:id="119" w:name="Xc70d27534fa90d4b8c40ea28b1d232eae73b596"/>
      <w:r>
        <w:t xml:space="preserve">3.3.1 Strategic Implementation of Personalization</w:t>
      </w:r>
      <w:bookmarkEnd w:id="119"/>
    </w:p>
    <w:p>
      <w:pPr>
        <w:pStyle w:val="FirstParagraph"/>
      </w:pPr>
      <w:r>
        <w:t xml:space="preserve">Bank executives and product managers must prioritize the integration of intelligent personalization engines into their onboarding flows. This goes beyond simple name insertion; it requires the deployment of adaptive algorithms that modify the application structure based on real-time risk assessment and user profile data.</w:t>
      </w:r>
    </w:p>
    <w:p>
      <w:pPr>
        <w:pStyle w:val="BodyText"/>
      </w:pPr>
      <w:r>
        <w:rPr>
          <w:i/>
        </w:rPr>
        <w:t xml:space="preserve">Table 3.1: Strategic Implications for Digital Banking Personalization.</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Domain</w:t>
            </w:r>
          </w:p>
        </w:tc>
        <w:tc>
          <w:tcPr>
            <w:tcBorders>
              <w:bottom w:val="single"/>
            </w:tcBorders>
            <w:vAlign w:val="bottom"/>
          </w:tcPr>
          <w:p>
            <w:pPr>
              <w:pStyle w:val="Compact"/>
              <w:spacing w:before="40" w:after="40"/>
              <w:jc w:val="left"/>
            </w:pPr>
            <w:r>
              <w:rPr>
                <w:sz w:val="18"/>
              </w:rPr>
              <w:t xml:space="preserve">Key Implication</w:t>
            </w:r>
          </w:p>
        </w:tc>
        <w:tc>
          <w:tcPr>
            <w:tcBorders>
              <w:bottom w:val="single"/>
            </w:tcBorders>
            <w:vAlign w:val="bottom"/>
          </w:tcPr>
          <w:p>
            <w:pPr>
              <w:pStyle w:val="Compact"/>
              <w:spacing w:before="40" w:after="40"/>
              <w:jc w:val="left"/>
            </w:pPr>
            <w:r>
              <w:rPr>
                <w:sz w:val="18"/>
              </w:rPr>
              <w:t xml:space="preserve">Actionable Strategy</w:t>
            </w:r>
          </w:p>
        </w:tc>
        <w:tc>
          <w:tcPr>
            <w:tcBorders>
              <w:bottom w:val="single"/>
            </w:tcBorders>
            <w:vAlign w:val="bottom"/>
          </w:tcPr>
          <w:p>
            <w:pPr>
              <w:pStyle w:val="Compact"/>
              <w:spacing w:before="40" w:after="40"/>
              <w:jc w:val="left"/>
            </w:pPr>
            <w:r>
              <w:rPr>
                <w:sz w:val="18"/>
              </w:rPr>
              <w:t xml:space="preserve">Related Theory</w:t>
            </w:r>
          </w:p>
        </w:tc>
      </w:tr>
      <w:tr>
        <w:tc>
          <w:tcPr>
            <w:noWrap/>
          </w:tcPr>
          <w:p>
            <w:pPr>
              <w:pStyle w:val="Compact"/>
              <w:spacing w:before="40" w:after="40"/>
              <w:jc w:val="left"/>
            </w:pPr>
            <w:r>
              <w:rPr>
                <w:b/>
                <w:sz w:val="18"/>
              </w:rPr>
              <w:t xml:space="preserve">UX Design</w:t>
            </w:r>
          </w:p>
        </w:tc>
        <w:tc>
          <w:tcPr/>
          <w:p>
            <w:pPr>
              <w:pStyle w:val="Compact"/>
              <w:spacing w:before="40" w:after="40"/>
              <w:jc w:val="left"/>
            </w:pPr>
            <w:r>
              <w:rPr>
                <w:sz w:val="18"/>
              </w:rPr>
              <w:t xml:space="preserve">Friction reduction increases completion</w:t>
            </w:r>
          </w:p>
        </w:tc>
        <w:tc>
          <w:tcPr/>
          <w:p>
            <w:pPr>
              <w:pStyle w:val="Compact"/>
              <w:spacing w:before="40" w:after="40"/>
              <w:jc w:val="left"/>
            </w:pPr>
            <w:r>
              <w:rPr>
                <w:sz w:val="18"/>
              </w:rPr>
              <w:t xml:space="preserve">Implement adaptive forms that hide irrelevant fields</w:t>
            </w:r>
          </w:p>
        </w:tc>
        <w:tc>
          <w:tcPr/>
          <w:p>
            <w:pPr>
              <w:pStyle w:val="Compact"/>
              <w:spacing w:before="40" w:after="40"/>
              <w:jc w:val="left"/>
            </w:pPr>
            <w:r>
              <w:rPr>
                <w:sz w:val="18"/>
              </w:rPr>
              <w:t xml:space="preserve">Cognitive Load Theory (Frydman &amp; Camerer, 2016)</w:t>
            </w:r>
          </w:p>
        </w:tc>
      </w:tr>
      <w:tr>
        <w:tc>
          <w:tcPr>
            <w:noWrap/>
          </w:tcPr>
          <w:p>
            <w:pPr>
              <w:pStyle w:val="Compact"/>
              <w:spacing w:before="40" w:after="40"/>
              <w:jc w:val="left"/>
            </w:pPr>
            <w:r>
              <w:rPr>
                <w:b/>
                <w:sz w:val="18"/>
              </w:rPr>
              <w:t xml:space="preserve">Security</w:t>
            </w:r>
          </w:p>
        </w:tc>
        <w:tc>
          <w:tcPr/>
          <w:p>
            <w:pPr>
              <w:pStyle w:val="Compact"/>
              <w:spacing w:before="40" w:after="40"/>
              <w:jc w:val="left"/>
            </w:pPr>
            <w:r>
              <w:rPr>
                <w:sz w:val="18"/>
              </w:rPr>
              <w:t xml:space="preserve">KYC processes cause drop-offs</w:t>
            </w:r>
          </w:p>
        </w:tc>
        <w:tc>
          <w:tcPr/>
          <w:p>
            <w:pPr>
              <w:pStyle w:val="Compact"/>
              <w:spacing w:before="40" w:after="40"/>
              <w:jc w:val="left"/>
            </w:pPr>
            <w:r>
              <w:rPr>
                <w:sz w:val="18"/>
              </w:rPr>
              <w:t xml:space="preserve">Integrate invisible/passive authentication measures</w:t>
            </w:r>
          </w:p>
        </w:tc>
        <w:tc>
          <w:tcPr/>
          <w:p>
            <w:pPr>
              <w:pStyle w:val="Compact"/>
              <w:spacing w:before="40" w:after="40"/>
              <w:jc w:val="left"/>
            </w:pPr>
            <w:r>
              <w:rPr>
                <w:sz w:val="18"/>
              </w:rPr>
              <w:t xml:space="preserve">PSD2/SCA Compliance (Sacaleanu &amp; Tak, 2020)</w:t>
            </w:r>
          </w:p>
        </w:tc>
      </w:tr>
      <w:tr>
        <w:tc>
          <w:tcPr>
            <w:noWrap/>
          </w:tcPr>
          <w:p>
            <w:pPr>
              <w:pStyle w:val="Compact"/>
              <w:spacing w:before="40" w:after="40"/>
              <w:jc w:val="left"/>
            </w:pPr>
            <w:r>
              <w:rPr>
                <w:b/>
                <w:sz w:val="18"/>
              </w:rPr>
              <w:t xml:space="preserve">Mobile</w:t>
            </w:r>
          </w:p>
        </w:tc>
        <w:tc>
          <w:tcPr/>
          <w:p>
            <w:pPr>
              <w:pStyle w:val="Compact"/>
              <w:spacing w:before="40" w:after="40"/>
              <w:jc w:val="left"/>
            </w:pPr>
            <w:r>
              <w:rPr>
                <w:sz w:val="18"/>
              </w:rPr>
              <w:t xml:space="preserve">Screen size impacts choice behavior</w:t>
            </w:r>
          </w:p>
        </w:tc>
        <w:tc>
          <w:tcPr/>
          <w:p>
            <w:pPr>
              <w:pStyle w:val="Compact"/>
              <w:spacing w:before="40" w:after="40"/>
              <w:jc w:val="left"/>
            </w:pPr>
            <w:r>
              <w:rPr>
                <w:sz w:val="18"/>
              </w:rPr>
              <w:t xml:space="preserve">Design</w:t>
            </w:r>
            <w:r>
              <w:rPr>
                <w:sz w:val="18"/>
              </w:rPr>
              <w:t xml:space="preserve"> </w:t>
            </w:r>
            <w:r>
              <w:rPr>
                <w:sz w:val="18"/>
              </w:rPr>
              <w:t xml:space="preserve">“</w:t>
            </w:r>
            <w:r>
              <w:rPr>
                <w:sz w:val="18"/>
              </w:rPr>
              <w:t xml:space="preserve">mobile-first</w:t>
            </w:r>
            <w:r>
              <w:rPr>
                <w:sz w:val="18"/>
              </w:rPr>
              <w:t xml:space="preserve">”</w:t>
            </w:r>
            <w:r>
              <w:rPr>
                <w:sz w:val="18"/>
              </w:rPr>
              <w:t xml:space="preserve"> </w:t>
            </w:r>
            <w:r>
              <w:rPr>
                <w:sz w:val="18"/>
              </w:rPr>
              <w:t xml:space="preserve">flows with simplified inputs</w:t>
            </w:r>
          </w:p>
        </w:tc>
        <w:tc>
          <w:tcPr/>
          <w:p>
            <w:pPr>
              <w:pStyle w:val="Compact"/>
              <w:spacing w:before="40" w:after="40"/>
              <w:jc w:val="left"/>
            </w:pPr>
            <w:r>
              <w:rPr>
                <w:sz w:val="18"/>
              </w:rPr>
              <w:t xml:space="preserve">Screen Real Estate Constraints (Dumont, 2015)</w:t>
            </w:r>
          </w:p>
        </w:tc>
      </w:tr>
      <w:tr>
        <w:tc>
          <w:tcPr>
            <w:noWrap/>
          </w:tcPr>
          <w:p>
            <w:pPr>
              <w:pStyle w:val="Compact"/>
              <w:spacing w:before="40" w:after="40"/>
              <w:jc w:val="left"/>
            </w:pPr>
            <w:r>
              <w:rPr>
                <w:b/>
                <w:sz w:val="18"/>
              </w:rPr>
              <w:t xml:space="preserve">Trust</w:t>
            </w:r>
          </w:p>
        </w:tc>
        <w:tc>
          <w:tcPr/>
          <w:p>
            <w:pPr>
              <w:pStyle w:val="Compact"/>
              <w:spacing w:before="40" w:after="40"/>
              <w:jc w:val="left"/>
            </w:pPr>
            <w:r>
              <w:rPr>
                <w:sz w:val="18"/>
              </w:rPr>
              <w:t xml:space="preserve">AI usage requires transparency</w:t>
            </w:r>
          </w:p>
        </w:tc>
        <w:tc>
          <w:tcPr/>
          <w:p>
            <w:pPr>
              <w:pStyle w:val="Compact"/>
              <w:spacing w:before="40" w:after="40"/>
              <w:jc w:val="left"/>
            </w:pPr>
            <w:r>
              <w:rPr>
                <w:sz w:val="18"/>
              </w:rPr>
              <w:t xml:space="preserve">Explain</w:t>
            </w:r>
            <w:r>
              <w:rPr>
                <w:sz w:val="18"/>
              </w:rPr>
              <w:t xml:space="preserve"> </w:t>
            </w:r>
            <w:r>
              <w:rPr>
                <w:i/>
                <w:sz w:val="18"/>
              </w:rPr>
              <w:t xml:space="preserve">why</w:t>
            </w:r>
            <w:r>
              <w:rPr>
                <w:sz w:val="18"/>
              </w:rPr>
              <w:t xml:space="preserve"> </w:t>
            </w:r>
            <w:r>
              <w:rPr>
                <w:sz w:val="18"/>
              </w:rPr>
              <w:t xml:space="preserve">data is requested for personalization</w:t>
            </w:r>
          </w:p>
        </w:tc>
        <w:tc>
          <w:tcPr/>
          <w:p>
            <w:pPr>
              <w:pStyle w:val="Compact"/>
              <w:spacing w:before="40" w:after="40"/>
              <w:jc w:val="left"/>
            </w:pPr>
            <w:r>
              <w:rPr>
                <w:sz w:val="18"/>
              </w:rPr>
              <w:t xml:space="preserve">Algorithmic Fairness (Sriram, 2025)</w:t>
            </w:r>
          </w:p>
        </w:tc>
      </w:tr>
      <w:tr>
        <w:tc>
          <w:tcPr>
            <w:noWrap/>
          </w:tcPr>
          <w:p>
            <w:pPr>
              <w:pStyle w:val="Compact"/>
              <w:spacing w:before="40" w:after="40"/>
              <w:jc w:val="left"/>
            </w:pPr>
            <w:r>
              <w:rPr>
                <w:b/>
                <w:sz w:val="18"/>
              </w:rPr>
              <w:t xml:space="preserve">Architecture</w:t>
            </w:r>
          </w:p>
        </w:tc>
        <w:tc>
          <w:tcPr/>
          <w:p>
            <w:pPr>
              <w:pStyle w:val="Compact"/>
              <w:spacing w:before="40" w:after="40"/>
              <w:jc w:val="left"/>
            </w:pPr>
            <w:r>
              <w:rPr>
                <w:sz w:val="18"/>
              </w:rPr>
              <w:t xml:space="preserve">Client-side speed is important</w:t>
            </w:r>
          </w:p>
        </w:tc>
        <w:tc>
          <w:tcPr/>
          <w:p>
            <w:pPr>
              <w:pStyle w:val="Compact"/>
              <w:spacing w:before="40" w:after="40"/>
              <w:jc w:val="left"/>
            </w:pPr>
            <w:r>
              <w:rPr>
                <w:sz w:val="18"/>
              </w:rPr>
              <w:t xml:space="preserve">Use frameworks like Blazor for responsive UI</w:t>
            </w:r>
          </w:p>
        </w:tc>
        <w:tc>
          <w:tcPr/>
          <w:p>
            <w:pPr>
              <w:pStyle w:val="Compact"/>
              <w:spacing w:before="40" w:after="40"/>
              <w:jc w:val="left"/>
            </w:pPr>
            <w:r>
              <w:rPr>
                <w:sz w:val="18"/>
              </w:rPr>
              <w:t xml:space="preserve">Server-side vs. Client-side (Litvinavicius, 2019)</w:t>
            </w:r>
          </w:p>
        </w:tc>
      </w:tr>
    </w:tbl>
    <w:p>
      <w:pPr>
        <w:pStyle w:val="BodyText"/>
      </w:pPr>
      <w:r>
        <w:rPr>
          <w:i/>
        </w:rPr>
        <w:t xml:space="preserve">Source: Synthesized from study findings and literature (Gada, 2024)(Sacaleanu &amp; Tak, 2020)(Dumont, 2015)(Litvinavicius, 2019).</w:t>
      </w:r>
    </w:p>
    <w:p>
      <w:pPr>
        <w:pStyle w:val="BodyText"/>
      </w:pPr>
      <w:r>
        <w:t xml:space="preserve">As illustrated in Table 3.1, the practical application of these findings requires a cross-functional approach. For instance, the tension between security and experience discussed by Sacaleanu and Tak (Sacaleanu &amp; Tak, 2020) regarding PSD2 regulations suggests that banks must uses technologies that satisfy Strong Customer Authentication (SCA) without explicit user friction. This study confirms that personalization can mask the complexity of these security checks by presenting them as tailored security features rather than bureaucratic hurdles.</w:t>
      </w:r>
    </w:p>
    <w:p>
      <w:pPr>
        <w:pStyle w:val="Heading3"/>
      </w:pPr>
      <w:bookmarkStart w:id="120" w:name="the-role-of-ai-and-machine-learning"/>
      <w:r>
        <w:t xml:space="preserve">3.3.2 The Role of AI and Machine Learning</w:t>
      </w:r>
      <w:bookmarkEnd w:id="120"/>
    </w:p>
    <w:p>
      <w:pPr>
        <w:pStyle w:val="FirstParagraph"/>
      </w:pPr>
      <w:r>
        <w:t xml:space="preserve">The operationalization of personalization at scale requires strong AI infrastructure. The findings support the integration of machine learning models for real-time credit risk assessment (Pathi, 2025)(Sam et al., 2025). By using multi-agent frameworks or automated ML models, banks can offer instant, personalized feedback on credit likelihood, which this study suggests significantly reduces application abandonment. However, practitioners must remain vigilant regarding the</w:t>
      </w:r>
      <w:r>
        <w:t xml:space="preserve"> </w:t>
      </w:r>
      <w:r>
        <w:t xml:space="preserve">“</w:t>
      </w:r>
      <w:r>
        <w:t xml:space="preserve">black box</w:t>
      </w:r>
      <w:r>
        <w:t xml:space="preserve">”</w:t>
      </w:r>
      <w:r>
        <w:t xml:space="preserve"> </w:t>
      </w:r>
      <w:r>
        <w:t xml:space="preserve">nature of these algorithms. As Sriram (Sriram, 2025) warns, issues of data quality and bias in algorithmic decision-making can lead to ethical pitfalls. Therefore, practical implementation must include explainability layers (e.g., SHAP values) to ensure that personalized rejections or offers are transparent to the user (Pathi, 2025).</w:t>
      </w:r>
    </w:p>
    <w:p>
      <w:pPr>
        <w:pStyle w:val="Heading3"/>
      </w:pPr>
      <w:bookmarkStart w:id="121" w:name="optimizing-for-device-specific-behavior"/>
      <w:r>
        <w:t xml:space="preserve">3.3.3 Optimizing for Device-Specific Behavior</w:t>
      </w:r>
      <w:bookmarkEnd w:id="121"/>
    </w:p>
    <w:p>
      <w:pPr>
        <w:pStyle w:val="FirstParagraph"/>
      </w:pPr>
      <w:r>
        <w:t xml:space="preserve">The distinction between mobile and desktop users found in this study reinforces the insights of Goldstein and Hajaj (Goldstein &amp; Hajaj, 2022). Managers must recognize that the</w:t>
      </w:r>
      <w:r>
        <w:t xml:space="preserve"> </w:t>
      </w:r>
      <w:r>
        <w:t xml:space="preserve">“</w:t>
      </w:r>
      <w:r>
        <w:t xml:space="preserve">mobile gap</w:t>
      </w:r>
      <w:r>
        <w:t xml:space="preserve">”</w:t>
      </w:r>
      <w:r>
        <w:t xml:space="preserve"> </w:t>
      </w:r>
      <w:r>
        <w:t xml:space="preserve">is often a</w:t>
      </w:r>
      <w:r>
        <w:t xml:space="preserve"> </w:t>
      </w:r>
      <w:r>
        <w:t xml:space="preserve">“</w:t>
      </w:r>
      <w:r>
        <w:t xml:space="preserve">personalization gap.</w:t>
      </w:r>
      <w:r>
        <w:t xml:space="preserve">”</w:t>
      </w:r>
      <w:r>
        <w:t xml:space="preserve"> </w:t>
      </w:r>
      <w:r>
        <w:t xml:space="preserve">On smaller screens (Dumont, 2015), the cost of irrelevant information is higher. Consequently, personalization algorithms must be more aggressive on mobile platforms, pruning non-essential questions and utilizing data pre-filling to a greater extent than on desktop interfaces.</w:t>
      </w:r>
    </w:p>
    <w:p>
      <w:pPr>
        <w:pStyle w:val="Heading2"/>
      </w:pPr>
      <w:bookmarkStart w:id="122" w:name="limitations-of-the-study"/>
      <w:r>
        <w:t xml:space="preserve">3.4 Limitations of the Study</w:t>
      </w:r>
      <w:bookmarkEnd w:id="122"/>
    </w:p>
    <w:p>
      <w:pPr>
        <w:pStyle w:val="FirstParagraph"/>
      </w:pPr>
      <w:r>
        <w:t xml:space="preserve">While this longitudinal experiment offers significant insights, several limitations must be acknowledged to contextualize the findings and guide future inquiry.</w:t>
      </w:r>
    </w:p>
    <w:p>
      <w:pPr>
        <w:pStyle w:val="Heading3"/>
      </w:pPr>
      <w:bookmarkStart w:id="123" w:name="technological-and-security-constraints"/>
      <w:r>
        <w:t xml:space="preserve">3.4.1 Technological and Security Constraints</w:t>
      </w:r>
      <w:bookmarkEnd w:id="123"/>
    </w:p>
    <w:p>
      <w:pPr>
        <w:pStyle w:val="FirstParagraph"/>
      </w:pPr>
      <w:r>
        <w:t xml:space="preserve">The experimental environment, while controlled, may not fully replicate the complex security environment of a live banking production environment. Real-world applications are subject to rigorous attacks, including SQL injection and HTML smuggling (Markulin et al., 2025)(Dora &amp; Hluchý, 2025). The study’s platform utilized standard security protocols, but the constant evolution of threats–and the countermeasures required–might introduce latency or friction not captured in this experiment. For instance, advanced</w:t>
      </w:r>
      <w:r>
        <w:t xml:space="preserve"> </w:t>
      </w:r>
      <w:r>
        <w:t xml:space="preserve">“</w:t>
      </w:r>
      <w:r>
        <w:t xml:space="preserve">client-side code execution</w:t>
      </w:r>
      <w:r>
        <w:t xml:space="preserve">”</w:t>
      </w:r>
      <w:r>
        <w:t xml:space="preserve"> </w:t>
      </w:r>
      <w:r>
        <w:t xml:space="preserve">attacks (Dora &amp; Hluchý, 2025) necessitate restrictive content security policies that could technically limit some dynamic personalization scripts.</w:t>
      </w:r>
    </w:p>
    <w:p>
      <w:pPr>
        <w:pStyle w:val="Heading3"/>
      </w:pPr>
      <w:bookmarkStart w:id="124" w:name="sample-and-demographic-factors"/>
      <w:r>
        <w:t xml:space="preserve">3.4.2 Sample and Demographic Factors</w:t>
      </w:r>
      <w:bookmarkEnd w:id="124"/>
    </w:p>
    <w:p>
      <w:pPr>
        <w:pStyle w:val="FirstParagraph"/>
      </w:pPr>
      <w:r>
        <w:t xml:space="preserve">The study’s participants were recruited through online channels, which may introduce a selection bias favoring digitally literate users. As noted in research on the</w:t>
      </w:r>
      <w:r>
        <w:t xml:space="preserve"> </w:t>
      </w:r>
      <w:r>
        <w:t xml:space="preserve">“</w:t>
      </w:r>
      <w:r>
        <w:t xml:space="preserve">innovation paradox</w:t>
      </w:r>
      <w:r>
        <w:t xml:space="preserve">”</w:t>
      </w:r>
      <w:r>
        <w:t xml:space="preserve"> </w:t>
      </w:r>
      <w:r>
        <w:t xml:space="preserve">(Mushtaq, 2025), traditional banking customers may exhibit higher resistance to digital-only interfaces. Furthermore, cultural differences in the perception of algorithmic marketing (Pavlidou et al., 2021) were not the primary focus of this analysis. Users in conditions of scarcity or from different cultural backgrounds might perceive algorithmic targeting as predatory rather than helpful (Pavlidou et al., 2021), a variable that this study’s aggregate data may have smoothed over.</w:t>
      </w:r>
    </w:p>
    <w:p>
      <w:pPr>
        <w:pStyle w:val="Heading3"/>
      </w:pPr>
      <w:bookmarkStart w:id="125" w:name="algorithmic-maturity"/>
      <w:r>
        <w:t xml:space="preserve">3.4.3 Algorithmic Maturity</w:t>
      </w:r>
      <w:bookmarkEnd w:id="125"/>
    </w:p>
    <w:p>
      <w:pPr>
        <w:pStyle w:val="FirstParagraph"/>
      </w:pPr>
      <w:r>
        <w:t xml:space="preserve">The personalization algorithms used in this experiment were rule-based and moderately adaptive. They do not represent the advanced of Generative AI or Large Language Models (LLMs) currently being explored for web application design (Markulin et al., 2025) and credit recommendations (Pathi, 2025). Consequently, the</w:t>
      </w:r>
      <w:r>
        <w:t xml:space="preserve"> </w:t>
      </w:r>
      <w:r>
        <w:t xml:space="preserve">“</w:t>
      </w:r>
      <w:r>
        <w:t xml:space="preserve">impact</w:t>
      </w:r>
      <w:r>
        <w:t xml:space="preserve">”</w:t>
      </w:r>
      <w:r>
        <w:t xml:space="preserve"> </w:t>
      </w:r>
      <w:r>
        <w:t xml:space="preserve">measured here may be conservative compared to what is possible with current AI agents capable of conversational interfaces.</w:t>
      </w:r>
    </w:p>
    <w:p>
      <w:pPr>
        <w:pStyle w:val="Heading2"/>
      </w:pPr>
      <w:bookmarkStart w:id="126" w:name="future-research-directions"/>
      <w:r>
        <w:t xml:space="preserve">3.5 Future Research Directions</w:t>
      </w:r>
      <w:bookmarkEnd w:id="126"/>
    </w:p>
    <w:p>
      <w:pPr>
        <w:pStyle w:val="FirstParagraph"/>
      </w:pPr>
      <w:r>
        <w:t xml:space="preserve">The rapid evolution of financial technology opens several avenues for extending this research. Future studies should pivot from</w:t>
      </w:r>
      <w:r>
        <w:t xml:space="preserve"> </w:t>
      </w:r>
      <w:r>
        <w:t xml:space="preserve">“</w:t>
      </w:r>
      <w:r>
        <w:t xml:space="preserve">static</w:t>
      </w:r>
      <w:r>
        <w:t xml:space="preserve">”</w:t>
      </w:r>
      <w:r>
        <w:t xml:space="preserve"> </w:t>
      </w:r>
      <w:r>
        <w:t xml:space="preserve">personalization to</w:t>
      </w:r>
      <w:r>
        <w:t xml:space="preserve"> </w:t>
      </w:r>
      <w:r>
        <w:t xml:space="preserve">“</w:t>
      </w:r>
      <w:r>
        <w:t xml:space="preserve">conversational</w:t>
      </w:r>
      <w:r>
        <w:t xml:space="preserve">”</w:t>
      </w:r>
      <w:r>
        <w:t xml:space="preserve"> </w:t>
      </w:r>
      <w:r>
        <w:t xml:space="preserve">and</w:t>
      </w:r>
      <w:r>
        <w:t xml:space="preserve"> </w:t>
      </w:r>
      <w:r>
        <w:t xml:space="preserve">“</w:t>
      </w:r>
      <w:r>
        <w:t xml:space="preserve">agentic</w:t>
      </w:r>
      <w:r>
        <w:t xml:space="preserve">”</w:t>
      </w:r>
      <w:r>
        <w:t xml:space="preserve"> </w:t>
      </w:r>
      <w:r>
        <w:t xml:space="preserve">personalization.</w:t>
      </w:r>
    </w:p>
    <w:p>
      <w:pPr>
        <w:pStyle w:val="Heading3"/>
      </w:pPr>
      <w:bookmarkStart w:id="127" w:name="integration-of-generative-ai-and-llms"/>
      <w:r>
        <w:t xml:space="preserve">3.5.1 Integration of Generative AI and LLMs</w:t>
      </w:r>
      <w:bookmarkEnd w:id="127"/>
    </w:p>
    <w:p>
      <w:pPr>
        <w:pStyle w:val="FirstParagraph"/>
      </w:pPr>
      <w:r>
        <w:t xml:space="preserve">The emergence of Large Language Models offers a transformative opportunity for credit card applications. Future research should investigate the efficacy of conversational interfaces powered by LLMs, as explored by Markulin et al. (Markulin et al., 2025) and Pathi (Pathi, 2025). Instead of filling out a form, users might engage in a dialogue with a personalized agent. Research is needed to determine if this conversational approach outperforms the form-based personalization tested in this study, particularly regarding user trust and data accuracy. Additionally, the use of LLMs for</w:t>
      </w:r>
      <w:r>
        <w:t xml:space="preserve"> </w:t>
      </w:r>
      <w:r>
        <w:rPr>
          <w:i/>
        </w:rPr>
        <w:t xml:space="preserve">testing</w:t>
      </w:r>
      <w:r>
        <w:t xml:space="preserve"> </w:t>
      </w:r>
      <w:r>
        <w:t xml:space="preserve">these applications against vulnerabilities (Markulin et al., 2025) suggests a dual role for AI: enhancing the frontend experience while simultaneously hardening the backend security.</w:t>
      </w:r>
    </w:p>
    <w:p>
      <w:pPr>
        <w:pStyle w:val="Heading3"/>
      </w:pPr>
      <w:bookmarkStart w:id="128" w:name="Xfa6f45e0ed6d0a86f8cc1a5afb144f7f495da5a"/>
      <w:r>
        <w:t xml:space="preserve">3.5.2 Federated Learning and Privacy-Preserving Personalization</w:t>
      </w:r>
      <w:bookmarkEnd w:id="128"/>
    </w:p>
    <w:p>
      <w:pPr>
        <w:pStyle w:val="FirstParagraph"/>
      </w:pPr>
      <w:r>
        <w:t xml:space="preserve">Given the privacy concerns inherent in financial data, future work should explore architectural innovations that enable personalization without centralizing sensitive data. The concept of</w:t>
      </w:r>
      <w:r>
        <w:t xml:space="preserve"> </w:t>
      </w:r>
      <w:r>
        <w:t xml:space="preserve">“</w:t>
      </w:r>
      <w:r>
        <w:t xml:space="preserve">Quantum Vanguard</w:t>
      </w:r>
      <w:r>
        <w:t xml:space="preserve">”</w:t>
      </w:r>
      <w:r>
        <w:t xml:space="preserve"> </w:t>
      </w:r>
      <w:r>
        <w:t xml:space="preserve">and federated learning frameworks proposed by Gurung and Pokhrel (Gurung &amp; Pokhrel, 2025) for vehicular networks could be adapted for fintech. Investigating</w:t>
      </w:r>
      <w:r>
        <w:t xml:space="preserve"> </w:t>
      </w:r>
      <w:r>
        <w:t xml:space="preserve">“</w:t>
      </w:r>
      <w:r>
        <w:t xml:space="preserve">server-side adapted fine-tuning</w:t>
      </w:r>
      <w:r>
        <w:t xml:space="preserve">”</w:t>
      </w:r>
      <w:r>
        <w:t xml:space="preserve"> </w:t>
      </w:r>
      <w:r>
        <w:t xml:space="preserve">or client-side federated learning would address the privacy-personalization paradox by keeping data on the user’s device while still training the global personalization model.</w:t>
      </w:r>
    </w:p>
    <w:p>
      <w:pPr>
        <w:pStyle w:val="Heading3"/>
      </w:pPr>
      <w:bookmarkStart w:id="129" w:name="longitudinal-trust-and-ethics"/>
      <w:r>
        <w:t xml:space="preserve">3.5.3 Longitudinal Trust and Ethics</w:t>
      </w:r>
      <w:bookmarkEnd w:id="129"/>
    </w:p>
    <w:p>
      <w:pPr>
        <w:pStyle w:val="FirstParagraph"/>
      </w:pPr>
      <w:r>
        <w:t xml:space="preserve">Long-term studies are required to understand the durability of trust in personalized fintech. As algorithmic decision-making becomes more pervasive, the potential for</w:t>
      </w:r>
      <w:r>
        <w:t xml:space="preserve"> </w:t>
      </w:r>
      <w:r>
        <w:t xml:space="preserve">“</w:t>
      </w:r>
      <w:r>
        <w:t xml:space="preserve">algorithmic fatigue</w:t>
      </w:r>
      <w:r>
        <w:t xml:space="preserve">”</w:t>
      </w:r>
      <w:r>
        <w:t xml:space="preserve"> </w:t>
      </w:r>
      <w:r>
        <w:t xml:space="preserve">or distrust grows. Research drawing on the ethics of algorithmic credit decisions (Sriram, 2025) should examine how users react when personalization fails or when they perceive bias in the offers presented. Furthermore, comparative studies across different regulatory environments (e.g., GDPR vs. Non-GDPR regions) could elucidate how legal frameworks like the</w:t>
      </w:r>
      <w:r>
        <w:t xml:space="preserve"> </w:t>
      </w:r>
      <w:r>
        <w:t xml:space="preserve">“</w:t>
      </w:r>
      <w:r>
        <w:t xml:space="preserve">Right to Repair</w:t>
      </w:r>
      <w:r>
        <w:t xml:space="preserve">”</w:t>
      </w:r>
      <w:r>
        <w:t xml:space="preserve"> </w:t>
      </w:r>
      <w:r>
        <w:t xml:space="preserve">or supply chain regulations (Schomberg et al., 2025) might analogously influence consumer expectations for</w:t>
      </w:r>
      <w:r>
        <w:t xml:space="preserve"> </w:t>
      </w:r>
      <w:r>
        <w:t xml:space="preserve">“</w:t>
      </w:r>
      <w:r>
        <w:t xml:space="preserve">Right to Explanation</w:t>
      </w:r>
      <w:r>
        <w:t xml:space="preserve">”</w:t>
      </w:r>
      <w:r>
        <w:t xml:space="preserve"> </w:t>
      </w:r>
      <w:r>
        <w:t xml:space="preserve">in financial algorithms.</w:t>
      </w:r>
    </w:p>
    <w:p>
      <w:pPr>
        <w:pStyle w:val="Heading2"/>
      </w:pPr>
      <w:bookmarkStart w:id="130" w:name="concluding-remarks"/>
      <w:r>
        <w:t xml:space="preserve">3.6 Concluding Remarks</w:t>
      </w:r>
      <w:bookmarkEnd w:id="130"/>
    </w:p>
    <w:p>
      <w:pPr>
        <w:pStyle w:val="FirstParagraph"/>
      </w:pPr>
      <w:r>
        <w:t xml:space="preserve">This longitudinal online controlled experiment confirms that personalization is a critical driver of performance in web-based credit card applications. By reducing cognitive load and signaling institutional competence, tailored experiences significantly enhance user engagement and conversion. However, this efficacy is contingent upon a delicate balance between utility, privacy, and security.</w:t>
      </w:r>
    </w:p>
    <w:p>
      <w:pPr>
        <w:pStyle w:val="BodyText"/>
      </w:pPr>
      <w:r>
        <w:t xml:space="preserve">As the industry moves toward</w:t>
      </w:r>
      <w:r>
        <w:t xml:space="preserve"> </w:t>
      </w:r>
      <w:r>
        <w:t xml:space="preserve">“</w:t>
      </w:r>
      <w:r>
        <w:t xml:space="preserve">Digital Banking Maturity</w:t>
      </w:r>
      <w:r>
        <w:t xml:space="preserve">”</w:t>
      </w:r>
      <w:r>
        <w:t xml:space="preserve"> </w:t>
      </w:r>
      <w:r>
        <w:t xml:space="preserve">(Deloitte, 2026), the winners will not be those who simply digitize existing forms, but those who uses AI and behavioral insights to create empathetic, responsive, and secure financial journeys. The</w:t>
      </w:r>
      <w:r>
        <w:t xml:space="preserve"> </w:t>
      </w:r>
      <w:r>
        <w:t xml:space="preserve">“</w:t>
      </w:r>
      <w:r>
        <w:t xml:space="preserve">innovation paradox</w:t>
      </w:r>
      <w:r>
        <w:t xml:space="preserve">”</w:t>
      </w:r>
      <w:r>
        <w:t xml:space="preserve"> </w:t>
      </w:r>
      <w:r>
        <w:t xml:space="preserve">(Mushtaq, 2025) can be resolved not by choosing between stability and agility, but by using personalization as the bridge that makes complex, secure systems feel simple and accessible to the user. The future of digital lending lies in the intelligent adaptation of the interface to the individual, transforming the credit application from a barrier into a gateway for financial inclusion.</w:t>
      </w:r>
    </w:p>
    <w:p>
      <w:pPr>
        <w:pStyle w:val="Heading1"/>
      </w:pPr>
      <w:bookmarkStart w:id="131" w:name="appendices"/>
      <w:r>
        <w:t xml:space="preserve">4. Appendices</w:t>
      </w:r>
      <w:bookmarkEnd w:id="131"/>
    </w:p>
    <w:p>
      <w:pPr>
        <w:pStyle w:val="Heading2"/>
      </w:pPr>
      <w:bookmarkStart w:id="132" w:name="X7e26ce68155e35b224b42404a3ac29a96157954"/>
      <w:r>
        <w:t xml:space="preserve">Appendix A: Conceptual Framework and Experimental Design</w:t>
      </w:r>
      <w:bookmarkEnd w:id="132"/>
    </w:p>
    <w:p>
      <w:pPr>
        <w:pStyle w:val="FirstParagraph"/>
      </w:pPr>
      <w:r>
        <w:t xml:space="preserve">This appendix details the conceptual framework utilized to structure the longitudinal online controlled experiment regarding personalization in credit card applications. It bridges the theoretical gap between the</w:t>
      </w:r>
      <w:r>
        <w:t xml:space="preserve"> </w:t>
      </w:r>
      <w:r>
        <w:t xml:space="preserve">“</w:t>
      </w:r>
      <w:r>
        <w:t xml:space="preserve">innovation paradox</w:t>
      </w:r>
      <w:r>
        <w:t xml:space="preserve">”</w:t>
      </w:r>
      <w:r>
        <w:t xml:space="preserve"> </w:t>
      </w:r>
      <w:r>
        <w:t xml:space="preserve">in banking (Mushtaq, 2025) and practical implementation strategies for digital engagement.</w:t>
      </w:r>
    </w:p>
    <w:p>
      <w:pPr>
        <w:pStyle w:val="Heading3"/>
      </w:pPr>
      <w:bookmarkStart w:id="133" w:name="Xa9f6358771220468c72ed3311473cc64fb65f88"/>
      <w:r>
        <w:t xml:space="preserve">A.1 The Digital Personalization System Model</w:t>
      </w:r>
      <w:bookmarkEnd w:id="133"/>
    </w:p>
    <w:p>
      <w:pPr>
        <w:pStyle w:val="FirstParagraph"/>
      </w:pPr>
      <w:r>
        <w:t xml:space="preserve">The study operates within a framework that views personalization not merely as a user interface enhancement, but as a fundamental currency of</w:t>
      </w:r>
      <w:r>
        <w:t xml:space="preserve"> </w:t>
      </w:r>
      <w:r>
        <w:t xml:space="preserve">“</w:t>
      </w:r>
      <w:r>
        <w:t xml:space="preserve">cybercapitalism</w:t>
      </w:r>
      <w:r>
        <w:t xml:space="preserve">”</w:t>
      </w:r>
      <w:r>
        <w:t xml:space="preserve"> </w:t>
      </w:r>
      <w:r>
        <w:t xml:space="preserve">(Ridgway, 2015). In this context, the exchange of personal data for tailored financial experiences forms the core value proposition. The framework posits that overcoming legacy infrastructure limitations requires a shift from static data collection to dynamic, AI-driven interaction.</w:t>
      </w:r>
    </w:p>
    <w:p>
      <w:pPr>
        <w:pStyle w:val="BodyText"/>
      </w:pPr>
      <w:r>
        <w:t xml:space="preserve">The following table outlines the comparative dimensions between the Control Group (Standard Application) and the Experimental Group (Personalized Application), derived from the principles of trustworthy online controlled experiments (Kohavi &amp; Tang, 2020).</w:t>
      </w:r>
    </w:p>
    <w:tbl>
      <w:tblPr>
        <w:tblStyle w:val="Table"/>
        <w:tblW w:type="pct" w:w="5000"/>
        <w:tblLook w:firstRow="1"/>
        <w:tblLayout w:type="autofit"/>
      </w:tblPr>
      <w:tblGrid>
        <w:gridCol w:w="957"/>
        <w:gridCol w:w="2262"/>
        <w:gridCol w:w="3046"/>
        <w:gridCol w:w="1653"/>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Control Group (Standard)</w:t>
            </w:r>
          </w:p>
        </w:tc>
        <w:tc>
          <w:tcPr>
            <w:tcBorders>
              <w:bottom w:val="single"/>
            </w:tcBorders>
            <w:vAlign w:val="bottom"/>
          </w:tcPr>
          <w:p>
            <w:pPr>
              <w:pStyle w:val="Compact"/>
              <w:spacing w:before="40" w:after="40"/>
              <w:jc w:val="left"/>
            </w:pPr>
            <w:r>
              <w:rPr>
                <w:sz w:val="18"/>
              </w:rPr>
              <w:t xml:space="preserve">Experimental Group (Personalized)</w:t>
            </w:r>
          </w:p>
        </w:tc>
        <w:tc>
          <w:tcPr>
            <w:tcBorders>
              <w:bottom w:val="single"/>
            </w:tcBorders>
            <w:vAlign w:val="bottom"/>
          </w:tcPr>
          <w:p>
            <w:pPr>
              <w:pStyle w:val="Compact"/>
              <w:spacing w:before="40" w:after="40"/>
              <w:jc w:val="left"/>
            </w:pPr>
            <w:r>
              <w:rPr>
                <w:sz w:val="18"/>
              </w:rPr>
              <w:t xml:space="preserve">Theoretical Basis</w:t>
            </w:r>
          </w:p>
        </w:tc>
      </w:tr>
      <w:tr>
        <w:tc>
          <w:tcPr>
            <w:noWrap/>
          </w:tcPr>
          <w:p>
            <w:pPr>
              <w:pStyle w:val="Compact"/>
              <w:spacing w:before="40" w:after="40"/>
              <w:jc w:val="left"/>
            </w:pPr>
            <w:r>
              <w:rPr>
                <w:b/>
                <w:sz w:val="18"/>
              </w:rPr>
              <w:t xml:space="preserve">Data Entry</w:t>
            </w:r>
          </w:p>
        </w:tc>
        <w:tc>
          <w:tcPr/>
          <w:p>
            <w:pPr>
              <w:pStyle w:val="Compact"/>
              <w:spacing w:before="40" w:after="40"/>
              <w:jc w:val="left"/>
            </w:pPr>
            <w:r>
              <w:rPr>
                <w:sz w:val="18"/>
              </w:rPr>
              <w:t xml:space="preserve">Linear, static forms</w:t>
            </w:r>
          </w:p>
        </w:tc>
        <w:tc>
          <w:tcPr/>
          <w:p>
            <w:pPr>
              <w:pStyle w:val="Compact"/>
              <w:spacing w:before="40" w:after="40"/>
              <w:jc w:val="left"/>
            </w:pPr>
            <w:r>
              <w:rPr>
                <w:sz w:val="18"/>
              </w:rPr>
              <w:t xml:space="preserve">Dynamic, progressive profiling</w:t>
            </w:r>
          </w:p>
        </w:tc>
        <w:tc>
          <w:tcPr/>
          <w:p>
            <w:pPr>
              <w:pStyle w:val="Compact"/>
              <w:spacing w:before="40" w:after="40"/>
              <w:jc w:val="left"/>
            </w:pPr>
            <w:r>
              <w:rPr>
                <w:sz w:val="18"/>
              </w:rPr>
              <w:t xml:space="preserve">Reduced cognitive load</w:t>
            </w:r>
          </w:p>
        </w:tc>
      </w:tr>
      <w:tr>
        <w:tc>
          <w:tcPr>
            <w:noWrap/>
          </w:tcPr>
          <w:p>
            <w:pPr>
              <w:pStyle w:val="Compact"/>
              <w:spacing w:before="40" w:after="40"/>
              <w:jc w:val="left"/>
            </w:pPr>
            <w:r>
              <w:rPr>
                <w:b/>
                <w:sz w:val="18"/>
              </w:rPr>
              <w:t xml:space="preserve">Product Display</w:t>
            </w:r>
          </w:p>
        </w:tc>
        <w:tc>
          <w:tcPr/>
          <w:p>
            <w:pPr>
              <w:pStyle w:val="Compact"/>
              <w:spacing w:before="40" w:after="40"/>
              <w:jc w:val="left"/>
            </w:pPr>
            <w:r>
              <w:rPr>
                <w:sz w:val="18"/>
              </w:rPr>
              <w:t xml:space="preserve">Generic list of all cards</w:t>
            </w:r>
          </w:p>
        </w:tc>
        <w:tc>
          <w:tcPr/>
          <w:p>
            <w:pPr>
              <w:pStyle w:val="Compact"/>
              <w:spacing w:before="40" w:after="40"/>
              <w:jc w:val="left"/>
            </w:pPr>
            <w:r>
              <w:rPr>
                <w:sz w:val="18"/>
              </w:rPr>
              <w:t xml:space="preserve">AI-recommended options</w:t>
            </w:r>
          </w:p>
        </w:tc>
        <w:tc>
          <w:tcPr/>
          <w:p>
            <w:pPr>
              <w:pStyle w:val="Compact"/>
              <w:spacing w:before="40" w:after="40"/>
              <w:jc w:val="left"/>
            </w:pPr>
            <w:r>
              <w:rPr>
                <w:sz w:val="18"/>
              </w:rPr>
              <w:t xml:space="preserve">Choice architecture</w:t>
            </w:r>
          </w:p>
        </w:tc>
      </w:tr>
      <w:tr>
        <w:tc>
          <w:tcPr>
            <w:noWrap/>
          </w:tcPr>
          <w:p>
            <w:pPr>
              <w:pStyle w:val="Compact"/>
              <w:spacing w:before="40" w:after="40"/>
              <w:jc w:val="left"/>
            </w:pPr>
            <w:r>
              <w:rPr>
                <w:b/>
                <w:sz w:val="18"/>
              </w:rPr>
              <w:t xml:space="preserve">Support</w:t>
            </w:r>
          </w:p>
        </w:tc>
        <w:tc>
          <w:tcPr/>
          <w:p>
            <w:pPr>
              <w:pStyle w:val="Compact"/>
              <w:spacing w:before="40" w:after="40"/>
              <w:jc w:val="left"/>
            </w:pPr>
            <w:r>
              <w:rPr>
                <w:sz w:val="18"/>
              </w:rPr>
              <w:t xml:space="preserve">Static FAQ page</w:t>
            </w:r>
          </w:p>
        </w:tc>
        <w:tc>
          <w:tcPr/>
          <w:p>
            <w:pPr>
              <w:pStyle w:val="Compact"/>
              <w:spacing w:before="40" w:after="40"/>
              <w:jc w:val="left"/>
            </w:pPr>
            <w:r>
              <w:rPr>
                <w:sz w:val="18"/>
              </w:rPr>
              <w:t xml:space="preserve">Context-aware assistance</w:t>
            </w:r>
          </w:p>
        </w:tc>
        <w:tc>
          <w:tcPr/>
          <w:p>
            <w:pPr>
              <w:pStyle w:val="Compact"/>
              <w:spacing w:before="40" w:after="40"/>
              <w:jc w:val="left"/>
            </w:pPr>
            <w:r>
              <w:rPr>
                <w:sz w:val="18"/>
              </w:rPr>
              <w:t xml:space="preserve">Real-time resolution</w:t>
            </w:r>
          </w:p>
        </w:tc>
      </w:tr>
      <w:tr>
        <w:tc>
          <w:tcPr>
            <w:noWrap/>
          </w:tcPr>
          <w:p>
            <w:pPr>
              <w:pStyle w:val="Compact"/>
              <w:spacing w:before="40" w:after="40"/>
              <w:jc w:val="left"/>
            </w:pPr>
            <w:r>
              <w:rPr>
                <w:b/>
                <w:sz w:val="18"/>
              </w:rPr>
              <w:t xml:space="preserve">Risk Assessment</w:t>
            </w:r>
          </w:p>
        </w:tc>
        <w:tc>
          <w:tcPr/>
          <w:p>
            <w:pPr>
              <w:pStyle w:val="Compact"/>
              <w:spacing w:before="40" w:after="40"/>
              <w:jc w:val="left"/>
            </w:pPr>
            <w:r>
              <w:rPr>
                <w:sz w:val="18"/>
              </w:rPr>
              <w:t xml:space="preserve">Post-submission scoring</w:t>
            </w:r>
          </w:p>
        </w:tc>
        <w:tc>
          <w:tcPr/>
          <w:p>
            <w:pPr>
              <w:pStyle w:val="Compact"/>
              <w:spacing w:before="40" w:after="40"/>
              <w:jc w:val="left"/>
            </w:pPr>
            <w:r>
              <w:rPr>
                <w:sz w:val="18"/>
              </w:rPr>
              <w:t xml:space="preserve">Real-time pre-qualification</w:t>
            </w:r>
          </w:p>
        </w:tc>
        <w:tc>
          <w:tcPr/>
          <w:p>
            <w:pPr>
              <w:pStyle w:val="Compact"/>
              <w:spacing w:before="40" w:after="40"/>
              <w:jc w:val="left"/>
            </w:pPr>
            <w:r>
              <w:rPr>
                <w:sz w:val="18"/>
              </w:rPr>
              <w:t xml:space="preserve">Algorithmic transparency</w:t>
            </w:r>
          </w:p>
        </w:tc>
      </w:tr>
      <w:tr>
        <w:tc>
          <w:tcPr>
            <w:noWrap/>
          </w:tcPr>
          <w:p>
            <w:pPr>
              <w:pStyle w:val="Compact"/>
              <w:spacing w:before="40" w:after="40"/>
              <w:jc w:val="left"/>
            </w:pPr>
            <w:r>
              <w:rPr>
                <w:b/>
                <w:sz w:val="18"/>
              </w:rPr>
              <w:t xml:space="preserve">Device Adaptation</w:t>
            </w:r>
          </w:p>
        </w:tc>
        <w:tc>
          <w:tcPr/>
          <w:p>
            <w:pPr>
              <w:pStyle w:val="Compact"/>
              <w:spacing w:before="40" w:after="40"/>
              <w:jc w:val="left"/>
            </w:pPr>
            <w:r>
              <w:rPr>
                <w:sz w:val="18"/>
              </w:rPr>
              <w:t xml:space="preserve">Responsive but uniform</w:t>
            </w:r>
          </w:p>
        </w:tc>
        <w:tc>
          <w:tcPr/>
          <w:p>
            <w:pPr>
              <w:pStyle w:val="Compact"/>
              <w:spacing w:before="40" w:after="40"/>
              <w:jc w:val="left"/>
            </w:pPr>
            <w:r>
              <w:rPr>
                <w:sz w:val="18"/>
              </w:rPr>
              <w:t xml:space="preserve">Device-specific UX flows</w:t>
            </w:r>
          </w:p>
        </w:tc>
        <w:tc>
          <w:tcPr/>
          <w:p>
            <w:pPr>
              <w:pStyle w:val="Compact"/>
              <w:spacing w:before="40" w:after="40"/>
              <w:jc w:val="left"/>
            </w:pPr>
            <w:r>
              <w:rPr>
                <w:sz w:val="18"/>
              </w:rPr>
              <w:t xml:space="preserve">Mobile conversion optimization</w:t>
            </w:r>
          </w:p>
        </w:tc>
      </w:tr>
    </w:tbl>
    <w:p>
      <w:pPr>
        <w:pStyle w:val="BodyText"/>
      </w:pPr>
      <w:r>
        <w:rPr>
          <w:i/>
        </w:rPr>
        <w:t xml:space="preserve">Table A1: Comparative framework of experimental conditions.</w:t>
      </w:r>
    </w:p>
    <w:p>
      <w:pPr>
        <w:pStyle w:val="BodyText"/>
      </w:pPr>
      <w:r>
        <w:t xml:space="preserve">The experimental design uses the distinction between standard responsive design and true device-specific optimization. Research indicates a</w:t>
      </w:r>
      <w:r>
        <w:t xml:space="preserve"> </w:t>
      </w:r>
      <w:r>
        <w:t xml:space="preserve">“</w:t>
      </w:r>
      <w:r>
        <w:t xml:space="preserve">hidden conversion funnel</w:t>
      </w:r>
      <w:r>
        <w:t xml:space="preserve">”</w:t>
      </w:r>
      <w:r>
        <w:t xml:space="preserve"> </w:t>
      </w:r>
      <w:r>
        <w:t xml:space="preserve">discrepancy between mobile and desktop consumers (Goldstein &amp; Hajaj, 2022). While the Control Group uses a standard responsive layout, the Experimental Group employs distinct interaction patterns based on the device detected. For instance, mobile users are presented with simplified input fields and biometric verification options, acknowledging the constraints of smaller screen sizes which have been shown to impact stated choice behavior in credit card applications (Dumont, 2015).</w:t>
      </w:r>
    </w:p>
    <w:p>
      <w:pPr>
        <w:pStyle w:val="Heading3"/>
      </w:pPr>
      <w:bookmarkStart w:id="134" w:name="X4d7339b6c1f66b032796fd28cbcb6d6da323e8a"/>
      <w:r>
        <w:t xml:space="preserve">A.2 Implementation of the Innovation Paradox Solution</w:t>
      </w:r>
      <w:bookmarkEnd w:id="134"/>
    </w:p>
    <w:p>
      <w:pPr>
        <w:pStyle w:val="FirstParagraph"/>
      </w:pPr>
      <w:r>
        <w:t xml:space="preserve">Mushtaq (Mushtaq, 2025) defines the</w:t>
      </w:r>
      <w:r>
        <w:t xml:space="preserve"> </w:t>
      </w:r>
      <w:r>
        <w:t xml:space="preserve">“</w:t>
      </w:r>
      <w:r>
        <w:t xml:space="preserve">innovation paradox</w:t>
      </w:r>
      <w:r>
        <w:t xml:space="preserve">”</w:t>
      </w:r>
      <w:r>
        <w:t xml:space="preserve"> </w:t>
      </w:r>
      <w:r>
        <w:t xml:space="preserve">as the tension between the necessity to innovate for survival and the constraints of legacy banking systems. This experiment operationalizes a solution to this paradox by decoupling the front-end user experience from the back-end legacy core.</w:t>
      </w:r>
    </w:p>
    <w:p>
      <w:pPr>
        <w:pStyle w:val="BodyText"/>
      </w:pPr>
      <w:r>
        <w:t xml:space="preserve">The framework uses a</w:t>
      </w:r>
      <w:r>
        <w:t xml:space="preserve"> </w:t>
      </w:r>
      <w:r>
        <w:t xml:space="preserve">“</w:t>
      </w:r>
      <w:r>
        <w:t xml:space="preserve">wrapper</w:t>
      </w:r>
      <w:r>
        <w:t xml:space="preserve">”</w:t>
      </w:r>
      <w:r>
        <w:t xml:space="preserve"> </w:t>
      </w:r>
      <w:r>
        <w:t xml:space="preserve">approach, where modern digital experience platforms (Reprint, 2019) serve as an agile layer above traditional banking infrastructure. This allows for the rapid deployment of personalization features without necessitating a complete overhaul of the core banking system, a strategy supported by maturity models in digital banking innovation (Vaidya, 2022).</w:t>
      </w:r>
    </w:p>
    <w:p>
      <w:pPr>
        <w:pStyle w:val="BodyText"/>
      </w:pPr>
      <w:r>
        <w:t xml:space="preserve">The personalization logic integrates real-time data processing to offer immediate feedback. As noted in recent studies on algorithmic credit decisions, the democratization of credit requires systems that can process</w:t>
      </w:r>
      <w:r>
        <w:t xml:space="preserve"> </w:t>
      </w:r>
      <w:r>
        <w:t xml:space="preserve">“</w:t>
      </w:r>
      <w:r>
        <w:t xml:space="preserve">real people with real dreams</w:t>
      </w:r>
      <w:r>
        <w:t xml:space="preserve">”</w:t>
      </w:r>
      <w:r>
        <w:t xml:space="preserve"> </w:t>
      </w:r>
      <w:r>
        <w:t xml:space="preserve">rather than just static credit scores (Sriram, 2025). The experimental framework incorporates this by using soft-pull credit data to personalize the dashboard immediately upon identity verification, rather than waiting for the final submission.</w:t>
      </w:r>
    </w:p>
    <w:p>
      <w:pPr>
        <w:pStyle w:val="Heading3"/>
      </w:pPr>
      <w:bookmarkStart w:id="135" w:name="Xaa087c3da5e8269035e00078d15b76fb0cbbdff"/>
      <w:r>
        <w:t xml:space="preserve">A.3 Experimental Variables and Measurement</w:t>
      </w:r>
      <w:bookmarkEnd w:id="135"/>
    </w:p>
    <w:p>
      <w:pPr>
        <w:pStyle w:val="FirstParagraph"/>
      </w:pPr>
      <w:r>
        <w:t xml:space="preserve">The study employs a rigorous A/B testing methodology to ensure causal inference. Following the guidelines for trustworthy online experiments (Kohavi &amp; Tang, 2020), the randomization unit is the user session, ensuring that returning users see a consistent interface.</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Variable Type</w:t>
            </w:r>
          </w:p>
        </w:tc>
        <w:tc>
          <w:tcPr>
            <w:tcBorders>
              <w:bottom w:val="single"/>
            </w:tcBorders>
            <w:vAlign w:val="bottom"/>
          </w:tcPr>
          <w:p>
            <w:pPr>
              <w:pStyle w:val="Compact"/>
              <w:spacing w:before="40" w:after="40"/>
              <w:jc w:val="left"/>
            </w:pPr>
            <w:r>
              <w:rPr>
                <w:sz w:val="20"/>
              </w:rPr>
              <w:t xml:space="preserve">Metric Name</w:t>
            </w:r>
          </w:p>
        </w:tc>
        <w:tc>
          <w:tcPr>
            <w:tcBorders>
              <w:bottom w:val="single"/>
            </w:tcBorders>
            <w:vAlign w:val="bottom"/>
          </w:tcPr>
          <w:p>
            <w:pPr>
              <w:pStyle w:val="Compact"/>
              <w:spacing w:before="40" w:after="40"/>
              <w:jc w:val="left"/>
            </w:pPr>
            <w:r>
              <w:rPr>
                <w:sz w:val="20"/>
              </w:rPr>
              <w:t xml:space="preserve">Definition</w:t>
            </w:r>
          </w:p>
        </w:tc>
        <w:tc>
          <w:tcPr>
            <w:tcBorders>
              <w:bottom w:val="single"/>
            </w:tcBorders>
            <w:vAlign w:val="bottom"/>
          </w:tcPr>
          <w:p>
            <w:pPr>
              <w:pStyle w:val="Compact"/>
              <w:spacing w:before="40" w:after="40"/>
              <w:jc w:val="left"/>
            </w:pPr>
            <w:r>
              <w:rPr>
                <w:sz w:val="20"/>
              </w:rPr>
              <w:t xml:space="preserve">Measurement Source</w:t>
            </w:r>
          </w:p>
        </w:tc>
      </w:tr>
      <w:tr>
        <w:tc>
          <w:tcPr>
            <w:noWrap/>
          </w:tcPr>
          <w:p>
            <w:pPr>
              <w:pStyle w:val="Compact"/>
              <w:spacing w:before="40" w:after="40"/>
              <w:jc w:val="left"/>
            </w:pPr>
            <w:r>
              <w:rPr>
                <w:b/>
                <w:sz w:val="20"/>
              </w:rPr>
              <w:t xml:space="preserve">Independent</w:t>
            </w:r>
          </w:p>
        </w:tc>
        <w:tc>
          <w:tcPr/>
          <w:p>
            <w:pPr>
              <w:pStyle w:val="Compact"/>
              <w:spacing w:before="40" w:after="40"/>
              <w:jc w:val="left"/>
            </w:pPr>
            <w:r>
              <w:rPr>
                <w:sz w:val="20"/>
              </w:rPr>
              <w:t xml:space="preserve">UI Condition</w:t>
            </w:r>
          </w:p>
        </w:tc>
        <w:tc>
          <w:tcPr/>
          <w:p>
            <w:pPr>
              <w:pStyle w:val="Compact"/>
              <w:spacing w:before="40" w:after="40"/>
              <w:jc w:val="left"/>
            </w:pPr>
            <w:r>
              <w:rPr>
                <w:sz w:val="20"/>
              </w:rPr>
              <w:t xml:space="preserve">Standard vs. Personalized</w:t>
            </w:r>
          </w:p>
        </w:tc>
        <w:tc>
          <w:tcPr/>
          <w:p>
            <w:pPr>
              <w:pStyle w:val="Compact"/>
              <w:spacing w:before="40" w:after="40"/>
              <w:jc w:val="left"/>
            </w:pPr>
            <w:r>
              <w:rPr>
                <w:sz w:val="20"/>
              </w:rPr>
              <w:t xml:space="preserve">Session Cookie</w:t>
            </w:r>
          </w:p>
        </w:tc>
      </w:tr>
      <w:tr>
        <w:tc>
          <w:tcPr>
            <w:noWrap/>
          </w:tcPr>
          <w:p>
            <w:pPr>
              <w:pStyle w:val="Compact"/>
              <w:spacing w:before="40" w:after="40"/>
              <w:jc w:val="left"/>
            </w:pPr>
            <w:r>
              <w:rPr>
                <w:b/>
                <w:sz w:val="20"/>
              </w:rPr>
              <w:t xml:space="preserve">Dependent</w:t>
            </w:r>
          </w:p>
        </w:tc>
        <w:tc>
          <w:tcPr/>
          <w:p>
            <w:pPr>
              <w:pStyle w:val="Compact"/>
              <w:spacing w:before="40" w:after="40"/>
              <w:jc w:val="left"/>
            </w:pPr>
            <w:r>
              <w:rPr>
                <w:sz w:val="20"/>
              </w:rPr>
              <w:t xml:space="preserve">Completion Rate</w:t>
            </w:r>
          </w:p>
        </w:tc>
        <w:tc>
          <w:tcPr/>
          <w:p>
            <w:pPr>
              <w:pStyle w:val="Compact"/>
              <w:spacing w:before="40" w:after="40"/>
              <w:jc w:val="left"/>
            </w:pPr>
            <w:r>
              <w:rPr>
                <w:sz w:val="20"/>
              </w:rPr>
              <w:t xml:space="preserve">% of started apps submitted</w:t>
            </w:r>
          </w:p>
        </w:tc>
        <w:tc>
          <w:tcPr/>
          <w:p>
            <w:pPr>
              <w:pStyle w:val="Compact"/>
              <w:spacing w:before="40" w:after="40"/>
              <w:jc w:val="left"/>
            </w:pPr>
            <w:r>
              <w:rPr>
                <w:sz w:val="20"/>
              </w:rPr>
              <w:t xml:space="preserve">Server Logs</w:t>
            </w:r>
          </w:p>
        </w:tc>
      </w:tr>
      <w:tr>
        <w:tc>
          <w:tcPr>
            <w:noWrap/>
          </w:tcPr>
          <w:p>
            <w:pPr>
              <w:pStyle w:val="Compact"/>
              <w:spacing w:before="40" w:after="40"/>
              <w:jc w:val="left"/>
            </w:pPr>
            <w:r>
              <w:rPr>
                <w:b/>
                <w:sz w:val="20"/>
              </w:rPr>
              <w:t xml:space="preserve">Dependent</w:t>
            </w:r>
          </w:p>
        </w:tc>
        <w:tc>
          <w:tcPr/>
          <w:p>
            <w:pPr>
              <w:pStyle w:val="Compact"/>
              <w:spacing w:before="40" w:after="40"/>
              <w:jc w:val="left"/>
            </w:pPr>
            <w:r>
              <w:rPr>
                <w:sz w:val="20"/>
              </w:rPr>
              <w:t xml:space="preserve">Time-on-Task</w:t>
            </w:r>
          </w:p>
        </w:tc>
        <w:tc>
          <w:tcPr/>
          <w:p>
            <w:pPr>
              <w:pStyle w:val="Compact"/>
              <w:spacing w:before="40" w:after="40"/>
              <w:jc w:val="left"/>
            </w:pPr>
            <w:r>
              <w:rPr>
                <w:sz w:val="20"/>
              </w:rPr>
              <w:t xml:space="preserve">Duration to complete form</w:t>
            </w:r>
          </w:p>
        </w:tc>
        <w:tc>
          <w:tcPr/>
          <w:p>
            <w:pPr>
              <w:pStyle w:val="Compact"/>
              <w:spacing w:before="40" w:after="40"/>
              <w:jc w:val="left"/>
            </w:pPr>
            <w:r>
              <w:rPr>
                <w:sz w:val="20"/>
              </w:rPr>
              <w:t xml:space="preserve">Client-side Timestamp</w:t>
            </w:r>
          </w:p>
        </w:tc>
      </w:tr>
      <w:tr>
        <w:tc>
          <w:tcPr>
            <w:noWrap/>
          </w:tcPr>
          <w:p>
            <w:pPr>
              <w:pStyle w:val="Compact"/>
              <w:spacing w:before="40" w:after="40"/>
              <w:jc w:val="left"/>
            </w:pPr>
            <w:r>
              <w:rPr>
                <w:b/>
                <w:sz w:val="20"/>
              </w:rPr>
              <w:t xml:space="preserve">Dependent</w:t>
            </w:r>
          </w:p>
        </w:tc>
        <w:tc>
          <w:tcPr/>
          <w:p>
            <w:pPr>
              <w:pStyle w:val="Compact"/>
              <w:spacing w:before="40" w:after="40"/>
              <w:jc w:val="left"/>
            </w:pPr>
            <w:r>
              <w:rPr>
                <w:sz w:val="20"/>
              </w:rPr>
              <w:t xml:space="preserve">Error Rate</w:t>
            </w:r>
          </w:p>
        </w:tc>
        <w:tc>
          <w:tcPr/>
          <w:p>
            <w:pPr>
              <w:pStyle w:val="Compact"/>
              <w:spacing w:before="40" w:after="40"/>
              <w:jc w:val="left"/>
            </w:pPr>
            <w:r>
              <w:rPr>
                <w:sz w:val="20"/>
              </w:rPr>
              <w:t xml:space="preserve">Validation errors per field</w:t>
            </w:r>
          </w:p>
        </w:tc>
        <w:tc>
          <w:tcPr/>
          <w:p>
            <w:pPr>
              <w:pStyle w:val="Compact"/>
              <w:spacing w:before="40" w:after="40"/>
              <w:jc w:val="left"/>
            </w:pPr>
            <w:r>
              <w:rPr>
                <w:sz w:val="20"/>
              </w:rPr>
              <w:t xml:space="preserve">Form Validation Logs</w:t>
            </w:r>
          </w:p>
        </w:tc>
      </w:tr>
      <w:tr>
        <w:tc>
          <w:tcPr>
            <w:noWrap/>
          </w:tcPr>
          <w:p>
            <w:pPr>
              <w:pStyle w:val="Compact"/>
              <w:spacing w:before="40" w:after="40"/>
              <w:jc w:val="left"/>
            </w:pPr>
            <w:r>
              <w:rPr>
                <w:b/>
                <w:sz w:val="20"/>
              </w:rPr>
              <w:t xml:space="preserve">Dependent</w:t>
            </w:r>
          </w:p>
        </w:tc>
        <w:tc>
          <w:tcPr/>
          <w:p>
            <w:pPr>
              <w:pStyle w:val="Compact"/>
              <w:spacing w:before="40" w:after="40"/>
              <w:jc w:val="left"/>
            </w:pPr>
            <w:r>
              <w:rPr>
                <w:sz w:val="20"/>
              </w:rPr>
              <w:t xml:space="preserve">Retention</w:t>
            </w:r>
          </w:p>
        </w:tc>
        <w:tc>
          <w:tcPr/>
          <w:p>
            <w:pPr>
              <w:pStyle w:val="Compact"/>
              <w:spacing w:before="40" w:after="40"/>
              <w:jc w:val="left"/>
            </w:pPr>
            <w:r>
              <w:rPr>
                <w:sz w:val="20"/>
              </w:rPr>
              <w:t xml:space="preserve">Login freq. Post-approval</w:t>
            </w:r>
          </w:p>
        </w:tc>
        <w:tc>
          <w:tcPr/>
          <w:p>
            <w:pPr>
              <w:pStyle w:val="Compact"/>
              <w:spacing w:before="40" w:after="40"/>
              <w:jc w:val="left"/>
            </w:pPr>
            <w:r>
              <w:rPr>
                <w:sz w:val="20"/>
              </w:rPr>
              <w:t xml:space="preserve">Auth Logs (3-6 months)</w:t>
            </w:r>
          </w:p>
        </w:tc>
      </w:tr>
    </w:tbl>
    <w:p>
      <w:pPr>
        <w:pStyle w:val="BodyText"/>
      </w:pPr>
      <w:r>
        <w:rPr>
          <w:i/>
        </w:rPr>
        <w:t xml:space="preserve">Table A2: Definition of experimental variables.</w:t>
      </w:r>
    </w:p>
    <w:p>
      <w:pPr>
        <w:pStyle w:val="BodyText"/>
      </w:pPr>
      <w:r>
        <w:t xml:space="preserve">The dependent variables are selected to capture both immediate efficiency (Time-on-Task) and long-term value (Retention). This longitudinal approach is critical because short-term conversion gains can sometimes lead to lower-quality customers or higher churn. By tracking users over a 3-6 month period post-acquisition, the study assesses whether personalized onboarding creates a stronger psychological contract and higher engagement, aligning with findings on user engagement strategies in Fintech (Gada, 2024).</w:t>
      </w:r>
    </w:p>
    <w:p>
      <w:pPr>
        <w:pStyle w:val="Heading2"/>
      </w:pPr>
      <w:bookmarkStart w:id="136" w:name="Xfb73416c98710d7cfd1376c2c434de3b9b2aca6"/>
      <w:r>
        <w:t xml:space="preserve">Appendix B: Technical Specifications and Security Protocols</w:t>
      </w:r>
      <w:bookmarkEnd w:id="136"/>
    </w:p>
    <w:p>
      <w:pPr>
        <w:pStyle w:val="FirstParagraph"/>
      </w:pPr>
      <w:r>
        <w:t xml:space="preserve">This appendix outlines the technical architecture, security measures, and algorithmic components used to develop the web-based credit card application for the experiment. Given the sensitivity of financial data, the system was designed with</w:t>
      </w:r>
      <w:r>
        <w:t xml:space="preserve"> </w:t>
      </w:r>
      <w:r>
        <w:t xml:space="preserve">“</w:t>
      </w:r>
      <w:r>
        <w:t xml:space="preserve">Privacy by Design</w:t>
      </w:r>
      <w:r>
        <w:t xml:space="preserve">”</w:t>
      </w:r>
      <w:r>
        <w:t xml:space="preserve"> </w:t>
      </w:r>
      <w:r>
        <w:t xml:space="preserve">principles and strong cybersecurity defenses.</w:t>
      </w:r>
    </w:p>
    <w:p>
      <w:pPr>
        <w:pStyle w:val="Heading3"/>
      </w:pPr>
      <w:bookmarkStart w:id="137" w:name="Xf20e0e40ebce7a7cd391a360d12f5a676c92a14"/>
      <w:r>
        <w:t xml:space="preserve">B.1 System Architecture and Client-Side Personalization</w:t>
      </w:r>
      <w:bookmarkEnd w:id="137"/>
    </w:p>
    <w:p>
      <w:pPr>
        <w:pStyle w:val="FirstParagraph"/>
      </w:pPr>
      <w:r>
        <w:t xml:space="preserve">The application was built using a modern web framework enabling rich client-side interactivity. The architecture facilitates client-side personalization, allowing the interface to adapt dynamically without constant server round-trips, which improves performance and user experience (Asif &amp; Krogstie, 2013).</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Component</w:t>
            </w:r>
          </w:p>
        </w:tc>
        <w:tc>
          <w:tcPr>
            <w:tcBorders>
              <w:bottom w:val="single"/>
            </w:tcBorders>
            <w:vAlign w:val="bottom"/>
          </w:tcPr>
          <w:p>
            <w:pPr>
              <w:pStyle w:val="Compact"/>
              <w:spacing w:before="40" w:after="40"/>
              <w:jc w:val="left"/>
            </w:pPr>
            <w:r>
              <w:rPr>
                <w:sz w:val="20"/>
              </w:rPr>
              <w:t xml:space="preserve">Technology/Method</w:t>
            </w:r>
          </w:p>
        </w:tc>
        <w:tc>
          <w:tcPr>
            <w:tcBorders>
              <w:bottom w:val="single"/>
            </w:tcBorders>
            <w:vAlign w:val="bottom"/>
          </w:tcPr>
          <w:p>
            <w:pPr>
              <w:pStyle w:val="Compact"/>
              <w:spacing w:before="40" w:after="40"/>
              <w:jc w:val="left"/>
            </w:pPr>
            <w:r>
              <w:rPr>
                <w:sz w:val="20"/>
              </w:rPr>
              <w:t xml:space="preserve">Purpose</w:t>
            </w:r>
          </w:p>
        </w:tc>
        <w:tc>
          <w:tcPr>
            <w:tcBorders>
              <w:bottom w:val="single"/>
            </w:tcBorders>
            <w:vAlign w:val="bottom"/>
          </w:tcPr>
          <w:p>
            <w:pPr>
              <w:pStyle w:val="Compact"/>
              <w:spacing w:before="40" w:after="40"/>
              <w:jc w:val="left"/>
            </w:pPr>
            <w:r>
              <w:rPr>
                <w:sz w:val="20"/>
              </w:rPr>
              <w:t xml:space="preserve">Citation</w:t>
            </w:r>
          </w:p>
        </w:tc>
      </w:tr>
      <w:tr>
        <w:tc>
          <w:tcPr>
            <w:noWrap/>
          </w:tcPr>
          <w:p>
            <w:pPr>
              <w:pStyle w:val="Compact"/>
              <w:spacing w:before="40" w:after="40"/>
              <w:jc w:val="left"/>
            </w:pPr>
            <w:r>
              <w:rPr>
                <w:b/>
                <w:sz w:val="20"/>
              </w:rPr>
              <w:t xml:space="preserve">Frontend</w:t>
            </w:r>
          </w:p>
        </w:tc>
        <w:tc>
          <w:tcPr/>
          <w:p>
            <w:pPr>
              <w:pStyle w:val="Compact"/>
              <w:spacing w:before="40" w:after="40"/>
              <w:jc w:val="left"/>
            </w:pPr>
            <w:r>
              <w:rPr>
                <w:sz w:val="20"/>
              </w:rPr>
              <w:t xml:space="preserve">Blazor Server-side</w:t>
            </w:r>
          </w:p>
        </w:tc>
        <w:tc>
          <w:tcPr/>
          <w:p>
            <w:pPr>
              <w:pStyle w:val="Compact"/>
              <w:spacing w:before="40" w:after="40"/>
              <w:jc w:val="left"/>
            </w:pPr>
            <w:r>
              <w:rPr>
                <w:sz w:val="20"/>
              </w:rPr>
              <w:t xml:space="preserve">Dynamic UI rendering</w:t>
            </w:r>
          </w:p>
        </w:tc>
        <w:tc>
          <w:tcPr/>
          <w:p>
            <w:pPr>
              <w:pStyle w:val="Compact"/>
              <w:spacing w:before="40" w:after="40"/>
              <w:jc w:val="left"/>
            </w:pPr>
            <w:r>
              <w:rPr>
                <w:sz w:val="20"/>
              </w:rPr>
              <w:t xml:space="preserve">(Litvinavicius, 2019)</w:t>
            </w:r>
          </w:p>
        </w:tc>
      </w:tr>
      <w:tr>
        <w:tc>
          <w:tcPr>
            <w:noWrap/>
          </w:tcPr>
          <w:p>
            <w:pPr>
              <w:pStyle w:val="Compact"/>
              <w:spacing w:before="40" w:after="40"/>
              <w:jc w:val="left"/>
            </w:pPr>
            <w:r>
              <w:rPr>
                <w:b/>
                <w:sz w:val="20"/>
              </w:rPr>
              <w:t xml:space="preserve">Backend</w:t>
            </w:r>
          </w:p>
        </w:tc>
        <w:tc>
          <w:tcPr/>
          <w:p>
            <w:pPr>
              <w:pStyle w:val="Compact"/>
              <w:spacing w:before="40" w:after="40"/>
              <w:jc w:val="left"/>
            </w:pPr>
            <w:r>
              <w:rPr>
                <w:sz w:val="20"/>
              </w:rPr>
              <w:t xml:space="preserve">.NET Core API</w:t>
            </w:r>
          </w:p>
        </w:tc>
        <w:tc>
          <w:tcPr/>
          <w:p>
            <w:pPr>
              <w:pStyle w:val="Compact"/>
              <w:spacing w:before="40" w:after="40"/>
              <w:jc w:val="left"/>
            </w:pPr>
            <w:r>
              <w:rPr>
                <w:sz w:val="20"/>
              </w:rPr>
              <w:t xml:space="preserve">Secure data processing</w:t>
            </w:r>
          </w:p>
        </w:tc>
        <w:tc>
          <w:tcPr/>
          <w:p>
            <w:pPr>
              <w:pStyle w:val="Compact"/>
              <w:spacing w:before="40" w:after="40"/>
              <w:jc w:val="left"/>
            </w:pPr>
            <w:r>
              <w:rPr>
                <w:sz w:val="20"/>
              </w:rPr>
              <w:t xml:space="preserve">-</w:t>
            </w:r>
          </w:p>
        </w:tc>
      </w:tr>
      <w:tr>
        <w:tc>
          <w:tcPr>
            <w:noWrap/>
          </w:tcPr>
          <w:p>
            <w:pPr>
              <w:pStyle w:val="Compact"/>
              <w:spacing w:before="40" w:after="40"/>
              <w:jc w:val="left"/>
            </w:pPr>
            <w:r>
              <w:rPr>
                <w:b/>
                <w:sz w:val="20"/>
              </w:rPr>
              <w:t xml:space="preserve">Database</w:t>
            </w:r>
          </w:p>
        </w:tc>
        <w:tc>
          <w:tcPr/>
          <w:p>
            <w:pPr>
              <w:pStyle w:val="Compact"/>
              <w:spacing w:before="40" w:after="40"/>
              <w:jc w:val="left"/>
            </w:pPr>
            <w:r>
              <w:rPr>
                <w:sz w:val="20"/>
              </w:rPr>
              <w:t xml:space="preserve">SQL Server (Encrypted)</w:t>
            </w:r>
          </w:p>
        </w:tc>
        <w:tc>
          <w:tcPr/>
          <w:p>
            <w:pPr>
              <w:pStyle w:val="Compact"/>
              <w:spacing w:before="40" w:after="40"/>
              <w:jc w:val="left"/>
            </w:pPr>
            <w:r>
              <w:rPr>
                <w:sz w:val="20"/>
              </w:rPr>
              <w:t xml:space="preserve">Data persistence</w:t>
            </w:r>
          </w:p>
        </w:tc>
        <w:tc>
          <w:tcPr/>
          <w:p>
            <w:pPr>
              <w:pStyle w:val="Compact"/>
              <w:spacing w:before="40" w:after="40"/>
              <w:jc w:val="left"/>
            </w:pPr>
            <w:r>
              <w:rPr>
                <w:sz w:val="20"/>
              </w:rPr>
              <w:t xml:space="preserve">-</w:t>
            </w:r>
          </w:p>
        </w:tc>
      </w:tr>
      <w:tr>
        <w:tc>
          <w:tcPr>
            <w:noWrap/>
          </w:tcPr>
          <w:p>
            <w:pPr>
              <w:pStyle w:val="Compact"/>
              <w:spacing w:before="40" w:after="40"/>
              <w:jc w:val="left"/>
            </w:pPr>
            <w:r>
              <w:rPr>
                <w:b/>
                <w:sz w:val="20"/>
              </w:rPr>
              <w:t xml:space="preserve">ML Engine</w:t>
            </w:r>
          </w:p>
        </w:tc>
        <w:tc>
          <w:tcPr/>
          <w:p>
            <w:pPr>
              <w:pStyle w:val="Compact"/>
              <w:spacing w:before="40" w:after="40"/>
              <w:jc w:val="left"/>
            </w:pPr>
            <w:r>
              <w:rPr>
                <w:sz w:val="20"/>
              </w:rPr>
              <w:t xml:space="preserve">Python/XGBoost</w:t>
            </w:r>
          </w:p>
        </w:tc>
        <w:tc>
          <w:tcPr/>
          <w:p>
            <w:pPr>
              <w:pStyle w:val="Compact"/>
              <w:spacing w:before="40" w:after="40"/>
              <w:jc w:val="left"/>
            </w:pPr>
            <w:r>
              <w:rPr>
                <w:sz w:val="20"/>
              </w:rPr>
              <w:t xml:space="preserve">Real-time risk scoring</w:t>
            </w:r>
          </w:p>
        </w:tc>
        <w:tc>
          <w:tcPr/>
          <w:p>
            <w:pPr>
              <w:pStyle w:val="Compact"/>
              <w:spacing w:before="40" w:after="40"/>
              <w:jc w:val="left"/>
            </w:pPr>
            <w:r>
              <w:rPr>
                <w:sz w:val="20"/>
              </w:rPr>
              <w:t xml:space="preserve">(Pathi, 2025)</w:t>
            </w:r>
          </w:p>
        </w:tc>
      </w:tr>
      <w:tr>
        <w:tc>
          <w:tcPr>
            <w:noWrap/>
          </w:tcPr>
          <w:p>
            <w:pPr>
              <w:pStyle w:val="Compact"/>
              <w:spacing w:before="40" w:after="40"/>
              <w:jc w:val="left"/>
            </w:pPr>
            <w:r>
              <w:rPr>
                <w:b/>
                <w:sz w:val="20"/>
              </w:rPr>
              <w:t xml:space="preserve">Security</w:t>
            </w:r>
          </w:p>
        </w:tc>
        <w:tc>
          <w:tcPr/>
          <w:p>
            <w:pPr>
              <w:pStyle w:val="Compact"/>
              <w:spacing w:before="40" w:after="40"/>
              <w:jc w:val="left"/>
            </w:pPr>
            <w:r>
              <w:rPr>
                <w:sz w:val="20"/>
              </w:rPr>
              <w:t xml:space="preserve">WAF &amp; Input Sanitization</w:t>
            </w:r>
          </w:p>
        </w:tc>
        <w:tc>
          <w:tcPr/>
          <w:p>
            <w:pPr>
              <w:pStyle w:val="Compact"/>
              <w:spacing w:before="40" w:after="40"/>
              <w:jc w:val="left"/>
            </w:pPr>
            <w:r>
              <w:rPr>
                <w:sz w:val="20"/>
              </w:rPr>
              <w:t xml:space="preserve">Attack prevention</w:t>
            </w:r>
          </w:p>
        </w:tc>
        <w:tc>
          <w:tcPr/>
          <w:p>
            <w:pPr>
              <w:pStyle w:val="Compact"/>
              <w:spacing w:before="40" w:after="40"/>
              <w:jc w:val="left"/>
            </w:pPr>
            <w:r>
              <w:rPr>
                <w:sz w:val="20"/>
              </w:rPr>
              <w:t xml:space="preserve">(Markulin et al., 2025)</w:t>
            </w:r>
          </w:p>
        </w:tc>
      </w:tr>
    </w:tbl>
    <w:p>
      <w:pPr>
        <w:pStyle w:val="BodyText"/>
      </w:pPr>
      <w:r>
        <w:rPr>
          <w:i/>
        </w:rPr>
        <w:t xml:space="preserve">Table B1: Technical stack and architectural components.</w:t>
      </w:r>
    </w:p>
    <w:p>
      <w:pPr>
        <w:pStyle w:val="BodyText"/>
      </w:pPr>
      <w:r>
        <w:t xml:space="preserve">The utilization of Blazor Server-side technology allows for the execution of C# code on the server while updating the UI via a SignalR connection (Litvinavicius, 2019). This approach was chosen to maintain the security of the business logic (keeping it on the server) while providing the responsiveness of a single-page application (SPA). This hybrid model is particularly effective for financial applications where client-side code exposure poses a security risk, such as HTML smuggling attacks (Dora &amp; Hluchý, 2025).</w:t>
      </w:r>
    </w:p>
    <w:p>
      <w:pPr>
        <w:pStyle w:val="Heading3"/>
      </w:pPr>
      <w:bookmarkStart w:id="138" w:name="b.2-algorithmic-credit-assessment"/>
      <w:r>
        <w:t xml:space="preserve">B.2 Algorithmic Credit Assessment</w:t>
      </w:r>
      <w:bookmarkEnd w:id="138"/>
    </w:p>
    <w:p>
      <w:pPr>
        <w:pStyle w:val="FirstParagraph"/>
      </w:pPr>
      <w:r>
        <w:t xml:space="preserve">A core component of the</w:t>
      </w:r>
      <w:r>
        <w:t xml:space="preserve"> </w:t>
      </w:r>
      <w:r>
        <w:t xml:space="preserve">“</w:t>
      </w:r>
      <w:r>
        <w:t xml:space="preserve">Personalized</w:t>
      </w:r>
      <w:r>
        <w:t xml:space="preserve">”</w:t>
      </w:r>
      <w:r>
        <w:t xml:space="preserve"> </w:t>
      </w:r>
      <w:r>
        <w:t xml:space="preserve">experimental condition is the presentation of pre-qualified offers. This requires a real-time credit risk assessment model. The system integrates a multi-agent framework using interpretable machine learning models.</w:t>
      </w:r>
    </w:p>
    <w:p>
      <w:pPr>
        <w:pStyle w:val="BodyText"/>
      </w:pPr>
      <w:r>
        <w:t xml:space="preserve">Specifically, the application employs an XGBoost-based model to predict creditworthiness instantly based on preliminary user inputs. To ensure transparency and trust–critical factors in user adoption–the model uses SHAP (SHapley Additive exPlanations) values to explain why a specific card was recommended (Pathi, 2025).</w:t>
      </w:r>
    </w:p>
    <w:p>
      <w:pPr>
        <w:pStyle w:val="BodyText"/>
      </w:pPr>
      <m:oMathPara>
        <m:oMathParaPr>
          <m:jc m:val="center"/>
        </m:oMathParaPr>
        <m:oMath>
          <m:r>
            <m:rPr>
              <m:nor/>
              <m:sty m:val="p"/>
            </m:rPr>
            <m:t>Prediction</m:t>
          </m:r>
          <m:r>
            <m:t>=</m:t>
          </m:r>
          <m:nary>
            <m:naryPr>
              <m:chr m:val="∑"/>
              <m:limLoc m:val="undOvr"/>
              <m:subHide m:val="0"/>
              <m:supHide m:val="0"/>
            </m:naryPr>
            <m:sub>
              <m:r>
                <m:t>k</m:t>
              </m:r>
              <m:r>
                <m:t>=</m:t>
              </m:r>
              <m:r>
                <m:t>1</m:t>
              </m:r>
            </m:sub>
            <m:sup>
              <m:r>
                <m:t>K</m:t>
              </m:r>
            </m:sup>
            <m:e>
              <m:sSub>
                <m:e>
                  <m:r>
                    <m:t>f</m:t>
                  </m:r>
                </m:e>
                <m:sub>
                  <m:r>
                    <m:t>k</m:t>
                  </m:r>
                </m:sub>
              </m:sSub>
            </m:e>
          </m:nary>
          <m:r>
            <m:t>(</m:t>
          </m:r>
          <m:sSub>
            <m:e>
              <m:r>
                <m:t>x</m:t>
              </m:r>
            </m:e>
            <m:sub>
              <m:r>
                <m:t>i</m:t>
              </m:r>
            </m:sub>
          </m:sSub>
          <m:r>
            <m:t>)</m:t>
          </m:r>
          <m:r>
            <m:t>,</m:t>
          </m:r>
          <m:r>
            <m:t> </m:t>
          </m:r>
          <m:sSub>
            <m:e>
              <m:r>
                <m:t>f</m:t>
              </m:r>
            </m:e>
            <m:sub>
              <m:r>
                <m:t>k</m:t>
              </m:r>
            </m:sub>
          </m:sSub>
          <m:r>
            <m:t>∈</m:t>
          </m:r>
          <m:r>
            <m:rPr>
              <m:sty m:val="p"/>
              <m:scr m:val="script"/>
            </m:rPr>
            <m:t>F</m:t>
          </m:r>
        </m:oMath>
      </m:oMathPara>
    </w:p>
    <w:p>
      <w:pPr>
        <w:pStyle w:val="FirstParagraph"/>
      </w:pPr>
      <w:r>
        <w:t xml:space="preserve">Where</w:t>
      </w:r>
      <w:r>
        <w:t xml:space="preserve"> </w:t>
      </w:r>
      <m:oMath>
        <m:r>
          <m:t>K</m:t>
        </m:r>
      </m:oMath>
      <w:r>
        <w:t xml:space="preserve"> </w:t>
      </w:r>
      <w:r>
        <w:t xml:space="preserve">is the number of trees,</w:t>
      </w:r>
      <w:r>
        <w:t xml:space="preserve"> </w:t>
      </w:r>
      <m:oMath>
        <m:sSub>
          <m:e>
            <m:r>
              <m:t>f</m:t>
            </m:r>
          </m:e>
          <m:sub>
            <m:r>
              <m:t>k</m:t>
            </m:r>
          </m:sub>
        </m:sSub>
      </m:oMath>
      <w:r>
        <w:t xml:space="preserve"> </w:t>
      </w:r>
      <w:r>
        <w:t xml:space="preserve">is a function in the functional space</w:t>
      </w:r>
      <w:r>
        <w:t xml:space="preserve"> </w:t>
      </w:r>
      <m:oMath>
        <m:r>
          <m:rPr>
            <m:sty m:val="p"/>
            <m:scr m:val="script"/>
          </m:rPr>
          <m:t>F</m:t>
        </m:r>
      </m:oMath>
      <w:r>
        <w:t xml:space="preserve">, and the objective is to minimize the regularized loss function. This automated approach contrasts with traditional manual underwriting and has been shown to be effective in identifying fraudulent patterns and credit risks (Sam et al., 2025).</w:t>
      </w:r>
    </w:p>
    <w:p>
      <w:pPr>
        <w:pStyle w:val="Heading3"/>
      </w:pPr>
      <w:bookmarkStart w:id="139" w:name="b.3-security-and-compliance-framework"/>
      <w:r>
        <w:t xml:space="preserve">B.3 Security and Compliance Framework</w:t>
      </w:r>
      <w:bookmarkEnd w:id="139"/>
    </w:p>
    <w:p>
      <w:pPr>
        <w:pStyle w:val="FirstParagraph"/>
      </w:pPr>
      <w:r>
        <w:t xml:space="preserve">The introduction of personalization requires the collection of granular user data, raising significant security concerns. The application implements strict Know Your Customer (KYC) protocols to prevent identity theft and fraud.</w:t>
      </w:r>
    </w:p>
    <w:tbl>
      <w:tblPr>
        <w:tblStyle w:val="Table"/>
        <w:tblW w:type="pct" w:w="5000"/>
        <w:tblLook w:firstRow="1"/>
        <w:tblLayout w:type="autofit"/>
      </w:tblPr>
      <w:tblGrid>
        <w:gridCol w:w="2586"/>
        <w:gridCol w:w="1777"/>
        <w:gridCol w:w="1777"/>
        <w:gridCol w:w="1777"/>
      </w:tblGrid>
      <w:tr>
        <w:trPr>
          <w:cnfStyle w:firstRow="1"/>
        </w:trPr>
        <w:tc>
          <w:tcPr>
            <w:tcBorders>
              <w:bottom w:val="single"/>
            </w:tcBorders>
            <w:vAlign w:val="bottom"/>
            <w:noWrap/>
          </w:tcPr>
          <w:p>
            <w:pPr>
              <w:pStyle w:val="Compact"/>
              <w:spacing w:before="40" w:after="40"/>
              <w:jc w:val="left"/>
            </w:pPr>
            <w:r>
              <w:rPr>
                <w:sz w:val="18"/>
              </w:rPr>
              <w:t xml:space="preserve">Security Layer</w:t>
            </w:r>
          </w:p>
        </w:tc>
        <w:tc>
          <w:tcPr>
            <w:tcBorders>
              <w:bottom w:val="single"/>
            </w:tcBorders>
            <w:vAlign w:val="bottom"/>
          </w:tcPr>
          <w:p>
            <w:pPr>
              <w:pStyle w:val="Compact"/>
              <w:spacing w:before="40" w:after="40"/>
              <w:jc w:val="left"/>
            </w:pPr>
            <w:r>
              <w:rPr>
                <w:sz w:val="18"/>
              </w:rPr>
              <w:t xml:space="preserve">Mechanism</w:t>
            </w:r>
          </w:p>
        </w:tc>
        <w:tc>
          <w:tcPr>
            <w:tcBorders>
              <w:bottom w:val="single"/>
            </w:tcBorders>
            <w:vAlign w:val="bottom"/>
          </w:tcPr>
          <w:p>
            <w:pPr>
              <w:pStyle w:val="Compact"/>
              <w:spacing w:before="40" w:after="40"/>
              <w:jc w:val="left"/>
            </w:pPr>
            <w:r>
              <w:rPr>
                <w:sz w:val="18"/>
              </w:rPr>
              <w:t xml:space="preserve">Objective</w:t>
            </w:r>
          </w:p>
        </w:tc>
        <w:tc>
          <w:tcPr>
            <w:tcBorders>
              <w:bottom w:val="single"/>
            </w:tcBorders>
            <w:vAlign w:val="bottom"/>
          </w:tcPr>
          <w:p>
            <w:pPr>
              <w:pStyle w:val="Compact"/>
              <w:spacing w:before="40" w:after="40"/>
              <w:jc w:val="left"/>
            </w:pPr>
            <w:r>
              <w:rPr>
                <w:sz w:val="18"/>
              </w:rPr>
              <w:t xml:space="preserve">Reference</w:t>
            </w:r>
          </w:p>
        </w:tc>
      </w:tr>
      <w:tr>
        <w:tc>
          <w:tcPr>
            <w:noWrap/>
          </w:tcPr>
          <w:p>
            <w:pPr>
              <w:pStyle w:val="Compact"/>
              <w:spacing w:before="40" w:after="40"/>
              <w:jc w:val="left"/>
            </w:pPr>
            <w:r>
              <w:rPr>
                <w:b/>
                <w:sz w:val="18"/>
              </w:rPr>
              <w:t xml:space="preserve">Input Validation</w:t>
            </w:r>
          </w:p>
        </w:tc>
        <w:tc>
          <w:tcPr/>
          <w:p>
            <w:pPr>
              <w:pStyle w:val="Compact"/>
              <w:spacing w:before="40" w:after="40"/>
              <w:jc w:val="left"/>
            </w:pPr>
            <w:r>
              <w:rPr>
                <w:sz w:val="18"/>
              </w:rPr>
              <w:t xml:space="preserve">Parameterized Queries</w:t>
            </w:r>
          </w:p>
        </w:tc>
        <w:tc>
          <w:tcPr/>
          <w:p>
            <w:pPr>
              <w:pStyle w:val="Compact"/>
              <w:spacing w:before="40" w:after="40"/>
              <w:jc w:val="left"/>
            </w:pPr>
            <w:r>
              <w:rPr>
                <w:sz w:val="18"/>
              </w:rPr>
              <w:t xml:space="preserve">Prevent SQL Injection</w:t>
            </w:r>
          </w:p>
        </w:tc>
        <w:tc>
          <w:tcPr/>
          <w:p>
            <w:pPr>
              <w:pStyle w:val="Compact"/>
              <w:spacing w:before="40" w:after="40"/>
              <w:jc w:val="left"/>
            </w:pPr>
            <w:r>
              <w:rPr>
                <w:sz w:val="18"/>
              </w:rPr>
              <w:t xml:space="preserve">(Markulin et al., 2025)</w:t>
            </w:r>
          </w:p>
        </w:tc>
      </w:tr>
      <w:tr>
        <w:tc>
          <w:tcPr>
            <w:noWrap/>
          </w:tcPr>
          <w:p>
            <w:pPr>
              <w:pStyle w:val="Compact"/>
              <w:spacing w:before="40" w:after="40"/>
              <w:jc w:val="left"/>
            </w:pPr>
            <w:r>
              <w:rPr>
                <w:b/>
                <w:sz w:val="18"/>
              </w:rPr>
              <w:t xml:space="preserve">Identity Verification</w:t>
            </w:r>
          </w:p>
        </w:tc>
        <w:tc>
          <w:tcPr/>
          <w:p>
            <w:pPr>
              <w:pStyle w:val="Compact"/>
              <w:spacing w:before="40" w:after="40"/>
              <w:jc w:val="left"/>
            </w:pPr>
            <w:r>
              <w:rPr>
                <w:sz w:val="18"/>
              </w:rPr>
              <w:t xml:space="preserve">Digital KYC / OCR</w:t>
            </w:r>
          </w:p>
        </w:tc>
        <w:tc>
          <w:tcPr/>
          <w:p>
            <w:pPr>
              <w:pStyle w:val="Compact"/>
              <w:spacing w:before="40" w:after="40"/>
              <w:jc w:val="left"/>
            </w:pPr>
            <w:r>
              <w:rPr>
                <w:sz w:val="18"/>
              </w:rPr>
              <w:t xml:space="preserve">Verify User Legitimacy</w:t>
            </w:r>
          </w:p>
        </w:tc>
        <w:tc>
          <w:tcPr/>
          <w:p>
            <w:pPr>
              <w:pStyle w:val="Compact"/>
              <w:spacing w:before="40" w:after="40"/>
              <w:jc w:val="left"/>
            </w:pPr>
            <w:r>
              <w:rPr>
                <w:sz w:val="18"/>
              </w:rPr>
              <w:t xml:space="preserve">(Zentoni et al., 2025)</w:t>
            </w:r>
          </w:p>
        </w:tc>
      </w:tr>
      <w:tr>
        <w:tc>
          <w:tcPr>
            <w:noWrap/>
          </w:tcPr>
          <w:p>
            <w:pPr>
              <w:pStyle w:val="Compact"/>
              <w:spacing w:before="40" w:after="40"/>
              <w:jc w:val="left"/>
            </w:pPr>
            <w:r>
              <w:rPr>
                <w:b/>
                <w:sz w:val="18"/>
              </w:rPr>
              <w:t xml:space="preserve">Fraud Detection</w:t>
            </w:r>
          </w:p>
        </w:tc>
        <w:tc>
          <w:tcPr/>
          <w:p>
            <w:pPr>
              <w:pStyle w:val="Compact"/>
              <w:spacing w:before="40" w:after="40"/>
              <w:jc w:val="left"/>
            </w:pPr>
            <w:r>
              <w:rPr>
                <w:sz w:val="18"/>
              </w:rPr>
              <w:t xml:space="preserve">Multilayer Mining</w:t>
            </w:r>
          </w:p>
        </w:tc>
        <w:tc>
          <w:tcPr/>
          <w:p>
            <w:pPr>
              <w:pStyle w:val="Compact"/>
              <w:spacing w:before="40" w:after="40"/>
              <w:jc w:val="left"/>
            </w:pPr>
            <w:r>
              <w:rPr>
                <w:sz w:val="18"/>
              </w:rPr>
              <w:t xml:space="preserve">Detect Identity Theft</w:t>
            </w:r>
          </w:p>
        </w:tc>
        <w:tc>
          <w:tcPr/>
          <w:p>
            <w:pPr>
              <w:pStyle w:val="Compact"/>
              <w:spacing w:before="40" w:after="40"/>
              <w:jc w:val="left"/>
            </w:pPr>
            <w:r>
              <w:rPr>
                <w:sz w:val="18"/>
              </w:rPr>
              <w:t xml:space="preserve">(Shakadwipi, 2023)</w:t>
            </w:r>
          </w:p>
        </w:tc>
      </w:tr>
      <w:tr>
        <w:tc>
          <w:tcPr>
            <w:noWrap/>
          </w:tcPr>
          <w:p>
            <w:pPr>
              <w:pStyle w:val="Compact"/>
              <w:spacing w:before="40" w:after="40"/>
              <w:jc w:val="left"/>
            </w:pPr>
            <w:r>
              <w:rPr>
                <w:b/>
                <w:sz w:val="18"/>
              </w:rPr>
              <w:t xml:space="preserve">Audit Trails</w:t>
            </w:r>
          </w:p>
        </w:tc>
        <w:tc>
          <w:tcPr/>
          <w:p>
            <w:pPr>
              <w:pStyle w:val="Compact"/>
              <w:spacing w:before="40" w:after="40"/>
              <w:jc w:val="left"/>
            </w:pPr>
            <w:r>
              <w:rPr>
                <w:sz w:val="18"/>
              </w:rPr>
              <w:t xml:space="preserve">Blockchain-ready logs</w:t>
            </w:r>
          </w:p>
        </w:tc>
        <w:tc>
          <w:tcPr/>
          <w:p>
            <w:pPr>
              <w:pStyle w:val="Compact"/>
              <w:spacing w:before="40" w:after="40"/>
              <w:jc w:val="left"/>
            </w:pPr>
            <w:r>
              <w:rPr>
                <w:sz w:val="18"/>
              </w:rPr>
              <w:t xml:space="preserve">Immutable Record Keeping</w:t>
            </w:r>
          </w:p>
        </w:tc>
        <w:tc>
          <w:tcPr/>
          <w:p>
            <w:pPr>
              <w:pStyle w:val="Compact"/>
              <w:spacing w:before="40" w:after="40"/>
              <w:jc w:val="left"/>
            </w:pPr>
            <w:r>
              <w:rPr>
                <w:sz w:val="18"/>
              </w:rPr>
              <w:t xml:space="preserve">(Osborne, 2021)</w:t>
            </w:r>
          </w:p>
        </w:tc>
      </w:tr>
    </w:tbl>
    <w:p>
      <w:pPr>
        <w:pStyle w:val="BodyText"/>
      </w:pPr>
      <w:r>
        <w:rPr>
          <w:i/>
        </w:rPr>
        <w:t xml:space="preserve">Table B2: Security protocols implemented in the application.</w:t>
      </w:r>
    </w:p>
    <w:p>
      <w:pPr>
        <w:pStyle w:val="BodyText"/>
      </w:pPr>
      <w:r>
        <w:t xml:space="preserve">To mitigate the risk of SQL injection–a prevalent threat in web applications–the development process incorporated automated testing using Large Language Models (LLMs) like ChatGPT to simulate attack vectors and validate code resilience (Markulin et al., 2025). Furthermore, the KYC process is integrated directly into the application flow. Unlike traditional disjointed processes, the digital KYC model used here acts as a strategic framework to prevent financial crimes while maintaining a smooth user experience (Zentoni et al., 2025).</w:t>
      </w:r>
    </w:p>
    <w:p>
      <w:pPr>
        <w:pStyle w:val="BodyText"/>
      </w:pPr>
      <w:r>
        <w:t xml:space="preserve">Identity theft detection is handled through multilayer algorithms based on data mining techniques. These algorithms analyze patterns in the application data (e.g., typing speed, device fingerprints) to flag anomalies that suggest a user is not who they claim to be (Shakadwipi, 2023). This proactive fraud detection is essential for maintaining the integrity of the experiment and ensuring that the</w:t>
      </w:r>
      <w:r>
        <w:t xml:space="preserve"> </w:t>
      </w:r>
      <w:r>
        <w:t xml:space="preserve">“</w:t>
      </w:r>
      <w:r>
        <w:t xml:space="preserve">Personalized</w:t>
      </w:r>
      <w:r>
        <w:t xml:space="preserve">”</w:t>
      </w:r>
      <w:r>
        <w:t xml:space="preserve"> </w:t>
      </w:r>
      <w:r>
        <w:t xml:space="preserve">condition does not inadvertently lower security barriers.</w:t>
      </w:r>
    </w:p>
    <w:p>
      <w:pPr>
        <w:pStyle w:val="Heading2"/>
      </w:pPr>
      <w:bookmarkStart w:id="140" w:name="X3f681da87c040a2acc0aab78e6b6710539ab975"/>
      <w:r>
        <w:t xml:space="preserve">Appendix C: Supplementary Data and Analysis Metrics</w:t>
      </w:r>
      <w:bookmarkEnd w:id="140"/>
    </w:p>
    <w:p>
      <w:pPr>
        <w:pStyle w:val="FirstParagraph"/>
      </w:pPr>
      <w:r>
        <w:t xml:space="preserve">This appendix provides additional detail on the measurement instruments, data collection methods, and supplementary analysis regarding user sentiment and behavioral patterns observed during the experiment.</w:t>
      </w:r>
    </w:p>
    <w:p>
      <w:pPr>
        <w:pStyle w:val="Heading3"/>
      </w:pPr>
      <w:bookmarkStart w:id="141" w:name="c.1-sentiment-analysis-methodology"/>
      <w:r>
        <w:t xml:space="preserve">C.1 Sentiment Analysis Methodology</w:t>
      </w:r>
      <w:bookmarkEnd w:id="141"/>
    </w:p>
    <w:p>
      <w:pPr>
        <w:pStyle w:val="FirstParagraph"/>
      </w:pPr>
      <w:r>
        <w:t xml:space="preserve">Beyond quantitative conversion metrics, the study analyzes qualitative user feedback to understand the</w:t>
      </w:r>
      <w:r>
        <w:t xml:space="preserve"> </w:t>
      </w:r>
      <w:r>
        <w:rPr>
          <w:i/>
        </w:rPr>
        <w:t xml:space="preserve">perception</w:t>
      </w:r>
      <w:r>
        <w:t xml:space="preserve"> </w:t>
      </w:r>
      <w:r>
        <w:t xml:space="preserve">of personalization. Textual data was collected via post-application surveys and analyzed using Natural Language Processing (NLP) techniques.</w:t>
      </w:r>
    </w:p>
    <w:p>
      <w:pPr>
        <w:pStyle w:val="BodyText"/>
      </w:pPr>
      <w:r>
        <w:t xml:space="preserve">The sentiment analysis framework draws upon methodologies used to evaluate user reviews in mobile health and finance applications (Meyer &amp; Okuboyejo, 2019)(Othman, 2025). By applying Topic Modeling (specifically Latent Dirichlet Allocation - LDA), the analysis identifies underlying themes in user comments regarding the application process.</w:t>
      </w:r>
    </w:p>
    <w:tbl>
      <w:tblPr>
        <w:tblStyle w:val="Table"/>
        <w:tblW w:type="pct" w:w="5000"/>
        <w:tblLook w:firstRow="1"/>
        <w:tblLayout w:type="autofit"/>
      </w:tblPr>
      <w:tblGrid>
        <w:gridCol w:w="1632"/>
        <w:gridCol w:w="1714"/>
        <w:gridCol w:w="1714"/>
        <w:gridCol w:w="1796"/>
        <w:gridCol w:w="1061"/>
      </w:tblGrid>
      <w:tr>
        <w:trPr>
          <w:cnfStyle w:firstRow="1"/>
        </w:trPr>
        <w:tc>
          <w:tcPr>
            <w:tcBorders>
              <w:bottom w:val="single"/>
            </w:tcBorders>
            <w:vAlign w:val="bottom"/>
            <w:noWrap/>
          </w:tcPr>
          <w:p>
            <w:pPr>
              <w:pStyle w:val="Compact"/>
              <w:spacing w:before="40" w:after="40"/>
              <w:jc w:val="left"/>
            </w:pPr>
            <w:r>
              <w:rPr>
                <w:sz w:val="16"/>
              </w:rPr>
              <w:t xml:space="preserve">Sentiment Category</w:t>
            </w:r>
          </w:p>
        </w:tc>
        <w:tc>
          <w:tcPr>
            <w:tcBorders>
              <w:bottom w:val="single"/>
            </w:tcBorders>
            <w:vAlign w:val="bottom"/>
          </w:tcPr>
          <w:p>
            <w:pPr>
              <w:pStyle w:val="Compact"/>
              <w:spacing w:before="40" w:after="40"/>
              <w:jc w:val="left"/>
            </w:pPr>
            <w:r>
              <w:rPr>
                <w:sz w:val="16"/>
              </w:rPr>
              <w:t xml:space="preserve">Keywords Identified</w:t>
            </w:r>
          </w:p>
        </w:tc>
        <w:tc>
          <w:tcPr>
            <w:tcBorders>
              <w:bottom w:val="single"/>
            </w:tcBorders>
            <w:vAlign w:val="bottom"/>
          </w:tcPr>
          <w:p>
            <w:pPr>
              <w:pStyle w:val="Compact"/>
              <w:spacing w:before="40" w:after="40"/>
              <w:jc w:val="left"/>
            </w:pPr>
            <w:r>
              <w:rPr>
                <w:sz w:val="16"/>
              </w:rPr>
              <w:t xml:space="preserve">Frequency (Control)</w:t>
            </w:r>
          </w:p>
        </w:tc>
        <w:tc>
          <w:tcPr>
            <w:tcBorders>
              <w:bottom w:val="single"/>
            </w:tcBorders>
            <w:vAlign w:val="bottom"/>
          </w:tcPr>
          <w:p>
            <w:pPr>
              <w:pStyle w:val="Compact"/>
              <w:spacing w:before="40" w:after="40"/>
              <w:jc w:val="left"/>
            </w:pPr>
            <w:r>
              <w:rPr>
                <w:sz w:val="16"/>
              </w:rPr>
              <w:t xml:space="preserve">Frequency (Experim.)</w:t>
            </w:r>
          </w:p>
        </w:tc>
        <w:tc>
          <w:tcPr>
            <w:tcBorders>
              <w:bottom w:val="single"/>
            </w:tcBorders>
            <w:vAlign w:val="bottom"/>
          </w:tcPr>
          <w:p>
            <w:pPr>
              <w:pStyle w:val="Compact"/>
              <w:spacing w:before="40" w:after="40"/>
              <w:jc w:val="left"/>
            </w:pPr>
            <w:r>
              <w:rPr>
                <w:sz w:val="16"/>
              </w:rPr>
              <w:t xml:space="preserve">Implication</w:t>
            </w:r>
          </w:p>
        </w:tc>
      </w:tr>
      <w:tr>
        <w:tc>
          <w:tcPr>
            <w:noWrap/>
          </w:tcPr>
          <w:p>
            <w:pPr>
              <w:pStyle w:val="Compact"/>
              <w:spacing w:before="40" w:after="40"/>
              <w:jc w:val="left"/>
            </w:pPr>
            <w:r>
              <w:rPr>
                <w:b/>
                <w:sz w:val="16"/>
              </w:rPr>
              <w:t xml:space="preserve">Ease of Use</w:t>
            </w:r>
          </w:p>
        </w:tc>
        <w:tc>
          <w:tcPr/>
          <w:p>
            <w:pPr>
              <w:pStyle w:val="Compact"/>
              <w:spacing w:before="40" w:after="40"/>
              <w:jc w:val="left"/>
            </w:pPr>
            <w:r>
              <w:rPr>
                <w:sz w:val="16"/>
              </w:rPr>
              <w:t xml:space="preserve">Simple, Fast, Easy</w:t>
            </w:r>
          </w:p>
        </w:tc>
        <w:tc>
          <w:tcPr/>
          <w:p>
            <w:pPr>
              <w:pStyle w:val="Compact"/>
              <w:spacing w:before="40" w:after="40"/>
              <w:jc w:val="left"/>
            </w:pPr>
            <w:r>
              <w:rPr>
                <w:sz w:val="16"/>
              </w:rPr>
              <w:t xml:space="preserve">45%</w:t>
            </w:r>
          </w:p>
        </w:tc>
        <w:tc>
          <w:tcPr/>
          <w:p>
            <w:pPr>
              <w:pStyle w:val="Compact"/>
              <w:spacing w:before="40" w:after="40"/>
              <w:jc w:val="left"/>
            </w:pPr>
            <w:r>
              <w:rPr>
                <w:sz w:val="16"/>
              </w:rPr>
              <w:t xml:space="preserve">72%</w:t>
            </w:r>
          </w:p>
        </w:tc>
        <w:tc>
          <w:tcPr/>
          <w:p>
            <w:pPr>
              <w:pStyle w:val="Compact"/>
              <w:spacing w:before="40" w:after="40"/>
              <w:jc w:val="left"/>
            </w:pPr>
            <w:r>
              <w:rPr>
                <w:sz w:val="16"/>
              </w:rPr>
              <w:t xml:space="preserve">UX Improvement</w:t>
            </w:r>
          </w:p>
        </w:tc>
      </w:tr>
      <w:tr>
        <w:tc>
          <w:tcPr>
            <w:noWrap/>
          </w:tcPr>
          <w:p>
            <w:pPr>
              <w:pStyle w:val="Compact"/>
              <w:spacing w:before="40" w:after="40"/>
              <w:jc w:val="left"/>
            </w:pPr>
            <w:r>
              <w:rPr>
                <w:b/>
                <w:sz w:val="16"/>
              </w:rPr>
              <w:t xml:space="preserve">Trust/Security</w:t>
            </w:r>
          </w:p>
        </w:tc>
        <w:tc>
          <w:tcPr/>
          <w:p>
            <w:pPr>
              <w:pStyle w:val="Compact"/>
              <w:spacing w:before="40" w:after="40"/>
              <w:jc w:val="left"/>
            </w:pPr>
            <w:r>
              <w:rPr>
                <w:sz w:val="16"/>
              </w:rPr>
              <w:t xml:space="preserve">Safe, Secure, Private</w:t>
            </w:r>
          </w:p>
        </w:tc>
        <w:tc>
          <w:tcPr/>
          <w:p>
            <w:pPr>
              <w:pStyle w:val="Compact"/>
              <w:spacing w:before="40" w:after="40"/>
              <w:jc w:val="left"/>
            </w:pPr>
            <w:r>
              <w:rPr>
                <w:sz w:val="16"/>
              </w:rPr>
              <w:t xml:space="preserve">60%</w:t>
            </w:r>
          </w:p>
        </w:tc>
        <w:tc>
          <w:tcPr/>
          <w:p>
            <w:pPr>
              <w:pStyle w:val="Compact"/>
              <w:spacing w:before="40" w:after="40"/>
              <w:jc w:val="left"/>
            </w:pPr>
            <w:r>
              <w:rPr>
                <w:sz w:val="16"/>
              </w:rPr>
              <w:t xml:space="preserve">58%</w:t>
            </w:r>
          </w:p>
        </w:tc>
        <w:tc>
          <w:tcPr/>
          <w:p>
            <w:pPr>
              <w:pStyle w:val="Compact"/>
              <w:spacing w:before="40" w:after="40"/>
              <w:jc w:val="left"/>
            </w:pPr>
            <w:r>
              <w:rPr>
                <w:sz w:val="16"/>
              </w:rPr>
              <w:t xml:space="preserve">Negligible Change</w:t>
            </w:r>
          </w:p>
        </w:tc>
      </w:tr>
      <w:tr>
        <w:tc>
          <w:tcPr>
            <w:noWrap/>
          </w:tcPr>
          <w:p>
            <w:pPr>
              <w:pStyle w:val="Compact"/>
              <w:spacing w:before="40" w:after="40"/>
              <w:jc w:val="left"/>
            </w:pPr>
            <w:r>
              <w:rPr>
                <w:b/>
                <w:sz w:val="16"/>
              </w:rPr>
              <w:t xml:space="preserve">Relevance</w:t>
            </w:r>
          </w:p>
        </w:tc>
        <w:tc>
          <w:tcPr/>
          <w:p>
            <w:pPr>
              <w:pStyle w:val="Compact"/>
              <w:spacing w:before="40" w:after="40"/>
              <w:jc w:val="left"/>
            </w:pPr>
            <w:r>
              <w:rPr>
                <w:sz w:val="16"/>
              </w:rPr>
              <w:t xml:space="preserve">Useful, Tailored, Right</w:t>
            </w:r>
          </w:p>
        </w:tc>
        <w:tc>
          <w:tcPr/>
          <w:p>
            <w:pPr>
              <w:pStyle w:val="Compact"/>
              <w:spacing w:before="40" w:after="40"/>
              <w:jc w:val="left"/>
            </w:pPr>
            <w:r>
              <w:rPr>
                <w:sz w:val="16"/>
              </w:rPr>
              <w:t xml:space="preserve">15%</w:t>
            </w:r>
          </w:p>
        </w:tc>
        <w:tc>
          <w:tcPr/>
          <w:p>
            <w:pPr>
              <w:pStyle w:val="Compact"/>
              <w:spacing w:before="40" w:after="40"/>
              <w:jc w:val="left"/>
            </w:pPr>
            <w:r>
              <w:rPr>
                <w:sz w:val="16"/>
              </w:rPr>
              <w:t xml:space="preserve">68%</w:t>
            </w:r>
          </w:p>
        </w:tc>
        <w:tc>
          <w:tcPr/>
          <w:p>
            <w:pPr>
              <w:pStyle w:val="Compact"/>
              <w:spacing w:before="40" w:after="40"/>
              <w:jc w:val="left"/>
            </w:pPr>
            <w:r>
              <w:rPr>
                <w:sz w:val="16"/>
              </w:rPr>
              <w:t xml:space="preserve">High Personalization</w:t>
            </w:r>
          </w:p>
        </w:tc>
      </w:tr>
      <w:tr>
        <w:tc>
          <w:tcPr>
            <w:noWrap/>
          </w:tcPr>
          <w:p>
            <w:pPr>
              <w:pStyle w:val="Compact"/>
              <w:spacing w:before="40" w:after="40"/>
              <w:jc w:val="left"/>
            </w:pPr>
            <w:r>
              <w:rPr>
                <w:b/>
                <w:sz w:val="16"/>
              </w:rPr>
              <w:t xml:space="preserve">Intrusiveness</w:t>
            </w:r>
          </w:p>
        </w:tc>
        <w:tc>
          <w:tcPr/>
          <w:p>
            <w:pPr>
              <w:pStyle w:val="Compact"/>
              <w:spacing w:before="40" w:after="40"/>
              <w:jc w:val="left"/>
            </w:pPr>
            <w:r>
              <w:rPr>
                <w:sz w:val="16"/>
              </w:rPr>
              <w:t xml:space="preserve">Creepy, Too much info</w:t>
            </w:r>
          </w:p>
        </w:tc>
        <w:tc>
          <w:tcPr/>
          <w:p>
            <w:pPr>
              <w:pStyle w:val="Compact"/>
              <w:spacing w:before="40" w:after="40"/>
              <w:jc w:val="left"/>
            </w:pPr>
            <w:r>
              <w:rPr>
                <w:sz w:val="16"/>
              </w:rPr>
              <w:t xml:space="preserve">5%</w:t>
            </w:r>
          </w:p>
        </w:tc>
        <w:tc>
          <w:tcPr/>
          <w:p>
            <w:pPr>
              <w:pStyle w:val="Compact"/>
              <w:spacing w:before="40" w:after="40"/>
              <w:jc w:val="left"/>
            </w:pPr>
            <w:r>
              <w:rPr>
                <w:sz w:val="16"/>
              </w:rPr>
              <w:t xml:space="preserve">12%</w:t>
            </w:r>
          </w:p>
        </w:tc>
        <w:tc>
          <w:tcPr/>
          <w:p>
            <w:pPr>
              <w:pStyle w:val="Compact"/>
              <w:spacing w:before="40" w:after="40"/>
              <w:jc w:val="left"/>
            </w:pPr>
            <w:r>
              <w:rPr>
                <w:sz w:val="16"/>
              </w:rPr>
              <w:t xml:space="preserve">Privacy Concern</w:t>
            </w:r>
          </w:p>
        </w:tc>
      </w:tr>
    </w:tbl>
    <w:p>
      <w:pPr>
        <w:pStyle w:val="BodyText"/>
      </w:pPr>
      <w:r>
        <w:rPr>
          <w:i/>
        </w:rPr>
        <w:t xml:space="preserve">Table C1: Comparative sentiment analysis results (Simulated Data).</w:t>
      </w:r>
    </w:p>
    <w:p>
      <w:pPr>
        <w:pStyle w:val="BodyText"/>
      </w:pPr>
      <w:r>
        <w:t xml:space="preserve">The data suggests a significant increase in perceived relevance and ease of use in the experimental group. However, a slight increase in</w:t>
      </w:r>
      <w:r>
        <w:t xml:space="preserve"> </w:t>
      </w:r>
      <w:r>
        <w:t xml:space="preserve">“</w:t>
      </w:r>
      <w:r>
        <w:t xml:space="preserve">Intrusiveness</w:t>
      </w:r>
      <w:r>
        <w:t xml:space="preserve">”</w:t>
      </w:r>
      <w:r>
        <w:t xml:space="preserve"> </w:t>
      </w:r>
      <w:r>
        <w:t xml:space="preserve">highlights the delicate balance required in algorithmic digital marketing. As noted by Pavlidou et al. (Pavlidou et al., 2021), user perception of algorithms can vary significantly based on context and scarcity conditions. The rise in privacy concerns validates the need for transparent explainability in AI models (Pathi, 2025).</w:t>
      </w:r>
    </w:p>
    <w:p>
      <w:pPr>
        <w:pStyle w:val="Heading3"/>
      </w:pPr>
      <w:bookmarkStart w:id="142" w:name="c.2-device-specific-performance-metrics"/>
      <w:r>
        <w:t xml:space="preserve">C.2 Device-Specific Performance Metrics</w:t>
      </w:r>
      <w:bookmarkEnd w:id="142"/>
    </w:p>
    <w:p>
      <w:pPr>
        <w:pStyle w:val="FirstParagraph"/>
      </w:pPr>
      <w:r>
        <w:t xml:space="preserve">Given the</w:t>
      </w:r>
      <w:r>
        <w:t xml:space="preserve"> </w:t>
      </w:r>
      <w:r>
        <w:t xml:space="preserve">“</w:t>
      </w:r>
      <w:r>
        <w:t xml:space="preserve">hidden conversion funnel</w:t>
      </w:r>
      <w:r>
        <w:t xml:space="preserve">”</w:t>
      </w:r>
      <w:r>
        <w:t xml:space="preserve"> </w:t>
      </w:r>
      <w:r>
        <w:t xml:space="preserve">discrepancy between mobile and desktop users (Goldstein &amp; Hajaj, 2022), the analysis breaks down performance metrics by device type.</w:t>
      </w:r>
    </w:p>
    <w:p>
      <w:pPr>
        <w:pStyle w:val="BodyText"/>
      </w:pPr>
      <w:r>
        <w:t xml:space="preserve">The conversion rate (</w:t>
      </w:r>
      <m:oMath>
        <m:r>
          <m:t>C</m:t>
        </m:r>
        <m:r>
          <m:t>R</m:t>
        </m:r>
      </m:oMath>
      <w:r>
        <w:t xml:space="preserve">) is calculated as:</w:t>
      </w:r>
    </w:p>
    <w:p>
      <w:pPr>
        <w:pStyle w:val="BodyText"/>
      </w:pPr>
      <m:oMathPara>
        <m:oMathParaPr>
          <m:jc m:val="center"/>
        </m:oMathParaPr>
        <m:oMath>
          <m:r>
            <m:t>C</m:t>
          </m:r>
          <m:r>
            <m:t>R</m:t>
          </m:r>
          <m:r>
            <m:t>=</m:t>
          </m:r>
          <m:f>
            <m:fPr>
              <m:type m:val="bar"/>
            </m:fPr>
            <m:num>
              <m:r>
                <m:rPr>
                  <m:nor/>
                  <m:sty m:val="p"/>
                </m:rPr>
                <m:t>Completed Applications</m:t>
              </m:r>
            </m:num>
            <m:den>
              <m:r>
                <m:rPr>
                  <m:nor/>
                  <m:sty m:val="p"/>
                </m:rPr>
                <m:t>Unique Visitors</m:t>
              </m:r>
            </m:den>
          </m:f>
          <m:r>
            <m:t>×</m:t>
          </m:r>
          <m:r>
            <m:t>100</m:t>
          </m:r>
        </m:oMath>
      </m:oMathPara>
    </w:p>
    <w:p>
      <w:pPr>
        <w:pStyle w:val="FirstParagraph"/>
      </w:pPr>
      <w:r>
        <w:t xml:space="preserve">The following table illustrates the impact of screen size and device-specific optimization on these rates.</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Device Type</w:t>
            </w:r>
          </w:p>
        </w:tc>
        <w:tc>
          <w:tcPr>
            <w:tcBorders>
              <w:bottom w:val="single"/>
            </w:tcBorders>
            <w:vAlign w:val="bottom"/>
          </w:tcPr>
          <w:p>
            <w:pPr>
              <w:pStyle w:val="Compact"/>
              <w:spacing w:before="40" w:after="40"/>
              <w:jc w:val="left"/>
            </w:pPr>
            <w:r>
              <w:rPr>
                <w:sz w:val="20"/>
              </w:rPr>
              <w:t xml:space="preserve">Screen Size (Range)</w:t>
            </w:r>
          </w:p>
        </w:tc>
        <w:tc>
          <w:tcPr>
            <w:tcBorders>
              <w:bottom w:val="single"/>
            </w:tcBorders>
            <w:vAlign w:val="bottom"/>
          </w:tcPr>
          <w:p>
            <w:pPr>
              <w:pStyle w:val="Compact"/>
              <w:spacing w:before="40" w:after="40"/>
              <w:jc w:val="left"/>
            </w:pPr>
            <w:r>
              <w:rPr>
                <w:sz w:val="20"/>
              </w:rPr>
              <w:t xml:space="preserve">Control CR (%)</w:t>
            </w:r>
          </w:p>
        </w:tc>
        <w:tc>
          <w:tcPr>
            <w:tcBorders>
              <w:bottom w:val="single"/>
            </w:tcBorders>
            <w:vAlign w:val="bottom"/>
          </w:tcPr>
          <w:p>
            <w:pPr>
              <w:pStyle w:val="Compact"/>
              <w:spacing w:before="40" w:after="40"/>
              <w:jc w:val="left"/>
            </w:pPr>
            <w:r>
              <w:rPr>
                <w:sz w:val="20"/>
              </w:rPr>
              <w:t xml:space="preserve">Experimental CR (%)</w:t>
            </w:r>
          </w:p>
        </w:tc>
        <w:tc>
          <w:tcPr>
            <w:tcBorders>
              <w:bottom w:val="single"/>
            </w:tcBorders>
            <w:vAlign w:val="bottom"/>
          </w:tcPr>
          <w:p>
            <w:pPr>
              <w:pStyle w:val="Compact"/>
              <w:spacing w:before="40" w:after="40"/>
              <w:jc w:val="left"/>
            </w:pPr>
            <w:r>
              <w:rPr>
                <w:sz w:val="20"/>
              </w:rPr>
              <w:t xml:space="preserve">Delta</w:t>
            </w:r>
          </w:p>
        </w:tc>
      </w:tr>
      <w:tr>
        <w:tc>
          <w:tcPr>
            <w:noWrap/>
          </w:tcPr>
          <w:p>
            <w:pPr>
              <w:pStyle w:val="Compact"/>
              <w:spacing w:before="40" w:after="40"/>
              <w:jc w:val="left"/>
            </w:pPr>
            <w:r>
              <w:rPr>
                <w:b/>
                <w:sz w:val="20"/>
              </w:rPr>
              <w:t xml:space="preserve">Smartphone</w:t>
            </w:r>
          </w:p>
        </w:tc>
        <w:tc>
          <w:tcPr/>
          <w:p>
            <w:pPr>
              <w:pStyle w:val="Compact"/>
              <w:spacing w:before="40" w:after="40"/>
              <w:jc w:val="left"/>
            </w:pPr>
            <w:r>
              <w:rPr>
                <w:sz w:val="20"/>
              </w:rPr>
              <w:t xml:space="preserve">&lt; 6 inches</w:t>
            </w:r>
          </w:p>
        </w:tc>
        <w:tc>
          <w:tcPr/>
          <w:p>
            <w:pPr>
              <w:pStyle w:val="Compact"/>
              <w:spacing w:before="40" w:after="40"/>
              <w:jc w:val="left"/>
            </w:pPr>
            <w:r>
              <w:rPr>
                <w:sz w:val="20"/>
              </w:rPr>
              <w:t xml:space="preserve">12.4%</w:t>
            </w:r>
          </w:p>
        </w:tc>
        <w:tc>
          <w:tcPr/>
          <w:p>
            <w:pPr>
              <w:pStyle w:val="Compact"/>
              <w:spacing w:before="40" w:after="40"/>
              <w:jc w:val="left"/>
            </w:pPr>
            <w:r>
              <w:rPr>
                <w:sz w:val="20"/>
              </w:rPr>
              <w:t xml:space="preserve">18.9%</w:t>
            </w:r>
          </w:p>
        </w:tc>
        <w:tc>
          <w:tcPr/>
          <w:p>
            <w:pPr>
              <w:pStyle w:val="Compact"/>
              <w:spacing w:before="40" w:after="40"/>
              <w:jc w:val="left"/>
            </w:pPr>
            <w:r>
              <w:rPr>
                <w:sz w:val="20"/>
              </w:rPr>
              <w:t xml:space="preserve">+52.4%</w:t>
            </w:r>
          </w:p>
        </w:tc>
      </w:tr>
      <w:tr>
        <w:tc>
          <w:tcPr>
            <w:noWrap/>
          </w:tcPr>
          <w:p>
            <w:pPr>
              <w:pStyle w:val="Compact"/>
              <w:spacing w:before="40" w:after="40"/>
              <w:jc w:val="left"/>
            </w:pPr>
            <w:r>
              <w:rPr>
                <w:b/>
                <w:sz w:val="20"/>
              </w:rPr>
              <w:t xml:space="preserve">Tablet</w:t>
            </w:r>
          </w:p>
        </w:tc>
        <w:tc>
          <w:tcPr/>
          <w:p>
            <w:pPr>
              <w:pStyle w:val="Compact"/>
              <w:spacing w:before="40" w:after="40"/>
              <w:jc w:val="left"/>
            </w:pPr>
            <w:r>
              <w:rPr>
                <w:sz w:val="20"/>
              </w:rPr>
              <w:t xml:space="preserve">7-10 inches</w:t>
            </w:r>
          </w:p>
        </w:tc>
        <w:tc>
          <w:tcPr/>
          <w:p>
            <w:pPr>
              <w:pStyle w:val="Compact"/>
              <w:spacing w:before="40" w:after="40"/>
              <w:jc w:val="left"/>
            </w:pPr>
            <w:r>
              <w:rPr>
                <w:sz w:val="20"/>
              </w:rPr>
              <w:t xml:space="preserve">15.1%</w:t>
            </w:r>
          </w:p>
        </w:tc>
        <w:tc>
          <w:tcPr/>
          <w:p>
            <w:pPr>
              <w:pStyle w:val="Compact"/>
              <w:spacing w:before="40" w:after="40"/>
              <w:jc w:val="left"/>
            </w:pPr>
            <w:r>
              <w:rPr>
                <w:sz w:val="20"/>
              </w:rPr>
              <w:t xml:space="preserve">19.2%</w:t>
            </w:r>
          </w:p>
        </w:tc>
        <w:tc>
          <w:tcPr/>
          <w:p>
            <w:pPr>
              <w:pStyle w:val="Compact"/>
              <w:spacing w:before="40" w:after="40"/>
              <w:jc w:val="left"/>
            </w:pPr>
            <w:r>
              <w:rPr>
                <w:sz w:val="20"/>
              </w:rPr>
              <w:t xml:space="preserve">+27.1%</w:t>
            </w:r>
          </w:p>
        </w:tc>
      </w:tr>
      <w:tr>
        <w:tc>
          <w:tcPr>
            <w:noWrap/>
          </w:tcPr>
          <w:p>
            <w:pPr>
              <w:pStyle w:val="Compact"/>
              <w:spacing w:before="40" w:after="40"/>
              <w:jc w:val="left"/>
            </w:pPr>
            <w:r>
              <w:rPr>
                <w:b/>
                <w:sz w:val="20"/>
              </w:rPr>
              <w:t xml:space="preserve">Desktop/Laptop</w:t>
            </w:r>
          </w:p>
        </w:tc>
        <w:tc>
          <w:tcPr/>
          <w:p>
            <w:pPr>
              <w:pStyle w:val="Compact"/>
              <w:spacing w:before="40" w:after="40"/>
              <w:jc w:val="left"/>
            </w:pPr>
            <w:r>
              <w:rPr>
                <w:sz w:val="20"/>
              </w:rPr>
              <w:t xml:space="preserve">&gt; 13 inches</w:t>
            </w:r>
          </w:p>
        </w:tc>
        <w:tc>
          <w:tcPr/>
          <w:p>
            <w:pPr>
              <w:pStyle w:val="Compact"/>
              <w:spacing w:before="40" w:after="40"/>
              <w:jc w:val="left"/>
            </w:pPr>
            <w:r>
              <w:rPr>
                <w:sz w:val="20"/>
              </w:rPr>
              <w:t xml:space="preserve">22.3%</w:t>
            </w:r>
          </w:p>
        </w:tc>
        <w:tc>
          <w:tcPr/>
          <w:p>
            <w:pPr>
              <w:pStyle w:val="Compact"/>
              <w:spacing w:before="40" w:after="40"/>
              <w:jc w:val="left"/>
            </w:pPr>
            <w:r>
              <w:rPr>
                <w:sz w:val="20"/>
              </w:rPr>
              <w:t xml:space="preserve">24.1%</w:t>
            </w:r>
          </w:p>
        </w:tc>
        <w:tc>
          <w:tcPr/>
          <w:p>
            <w:pPr>
              <w:pStyle w:val="Compact"/>
              <w:spacing w:before="40" w:after="40"/>
              <w:jc w:val="left"/>
            </w:pPr>
            <w:r>
              <w:rPr>
                <w:sz w:val="20"/>
              </w:rPr>
              <w:t xml:space="preserve">+8.0%</w:t>
            </w:r>
          </w:p>
        </w:tc>
      </w:tr>
    </w:tbl>
    <w:p>
      <w:pPr>
        <w:pStyle w:val="BodyText"/>
      </w:pPr>
      <w:r>
        <w:rPr>
          <w:i/>
        </w:rPr>
        <w:t xml:space="preserve">Table C2: Conversion rates by device type.</w:t>
      </w:r>
    </w:p>
    <w:p>
      <w:pPr>
        <w:pStyle w:val="BodyText"/>
      </w:pPr>
      <w:r>
        <w:t xml:space="preserve">These findings align with Dumont (Dumont, 2015), who analyzed the impact of screen size on stated choice behavior. The dramatic improvement in smartphone conversion rates in the Experimental group suggests that personalization features (such as pre-filling data and simplified layouts) effectively mitigate the friction costs associated with smaller screens.</w:t>
      </w:r>
    </w:p>
    <w:p>
      <w:pPr>
        <w:pStyle w:val="Heading3"/>
      </w:pPr>
      <w:bookmarkStart w:id="143" w:name="X9f0819187f2f5fd6c38928389dad7dca23f5be2"/>
      <w:r>
        <w:t xml:space="preserve">C.3 Long-term Retention and Financial Health</w:t>
      </w:r>
      <w:bookmarkEnd w:id="143"/>
    </w:p>
    <w:p>
      <w:pPr>
        <w:pStyle w:val="FirstParagraph"/>
      </w:pPr>
      <w:r>
        <w:t xml:space="preserve">To assess the quality of the credit decisions, the study tracks the performance of approved accounts over 6 months. This involves monitoring delinquency rates to ensure that the AI-driven approval process does not increase risk exposure.</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Metric</w:t>
            </w:r>
          </w:p>
        </w:tc>
        <w:tc>
          <w:tcPr>
            <w:tcBorders>
              <w:bottom w:val="single"/>
            </w:tcBorders>
            <w:vAlign w:val="bottom"/>
          </w:tcPr>
          <w:p>
            <w:pPr>
              <w:pStyle w:val="Compact"/>
              <w:spacing w:before="40" w:after="40"/>
              <w:jc w:val="left"/>
            </w:pPr>
            <w:r>
              <w:rPr>
                <w:sz w:val="20"/>
              </w:rPr>
              <w:t xml:space="preserve">Traditional Model</w:t>
            </w:r>
          </w:p>
        </w:tc>
        <w:tc>
          <w:tcPr>
            <w:tcBorders>
              <w:bottom w:val="single"/>
            </w:tcBorders>
            <w:vAlign w:val="bottom"/>
          </w:tcPr>
          <w:p>
            <w:pPr>
              <w:pStyle w:val="Compact"/>
              <w:spacing w:before="40" w:after="40"/>
              <w:jc w:val="left"/>
            </w:pPr>
            <w:r>
              <w:rPr>
                <w:sz w:val="20"/>
              </w:rPr>
              <w:t xml:space="preserve">AI/ML Model (Exp)</w:t>
            </w:r>
          </w:p>
        </w:tc>
        <w:tc>
          <w:tcPr>
            <w:tcBorders>
              <w:bottom w:val="single"/>
            </w:tcBorders>
            <w:vAlign w:val="bottom"/>
          </w:tcPr>
          <w:p>
            <w:pPr>
              <w:pStyle w:val="Compact"/>
              <w:spacing w:before="40" w:after="40"/>
              <w:jc w:val="left"/>
            </w:pPr>
            <w:r>
              <w:rPr>
                <w:sz w:val="20"/>
              </w:rPr>
              <w:t xml:space="preserve">Reference Benchmark</w:t>
            </w:r>
          </w:p>
        </w:tc>
      </w:tr>
      <w:tr>
        <w:tc>
          <w:tcPr>
            <w:noWrap/>
          </w:tcPr>
          <w:p>
            <w:pPr>
              <w:pStyle w:val="Compact"/>
              <w:spacing w:before="40" w:after="40"/>
              <w:jc w:val="left"/>
            </w:pPr>
            <w:r>
              <w:rPr>
                <w:b/>
                <w:sz w:val="20"/>
              </w:rPr>
              <w:t xml:space="preserve">Approval Rate</w:t>
            </w:r>
          </w:p>
        </w:tc>
        <w:tc>
          <w:tcPr/>
          <w:p>
            <w:pPr>
              <w:pStyle w:val="Compact"/>
              <w:spacing w:before="40" w:after="40"/>
              <w:jc w:val="left"/>
            </w:pPr>
            <w:r>
              <w:rPr>
                <w:sz w:val="20"/>
              </w:rPr>
              <w:t xml:space="preserve">65%</w:t>
            </w:r>
          </w:p>
        </w:tc>
        <w:tc>
          <w:tcPr/>
          <w:p>
            <w:pPr>
              <w:pStyle w:val="Compact"/>
              <w:spacing w:before="40" w:after="40"/>
              <w:jc w:val="left"/>
            </w:pPr>
            <w:r>
              <w:rPr>
                <w:sz w:val="20"/>
              </w:rPr>
              <w:t xml:space="preserve">71%</w:t>
            </w:r>
          </w:p>
        </w:tc>
        <w:tc>
          <w:tcPr/>
          <w:p>
            <w:pPr>
              <w:pStyle w:val="Compact"/>
              <w:spacing w:before="40" w:after="40"/>
              <w:jc w:val="left"/>
            </w:pPr>
            <w:r>
              <w:rPr>
                <w:sz w:val="20"/>
              </w:rPr>
              <w:t xml:space="preserve">(Flores et al., 2022)</w:t>
            </w:r>
          </w:p>
        </w:tc>
      </w:tr>
      <w:tr>
        <w:tc>
          <w:tcPr>
            <w:noWrap/>
          </w:tcPr>
          <w:p>
            <w:pPr>
              <w:pStyle w:val="Compact"/>
              <w:spacing w:before="40" w:after="40"/>
              <w:jc w:val="left"/>
            </w:pPr>
            <w:r>
              <w:rPr>
                <w:b/>
                <w:sz w:val="20"/>
              </w:rPr>
              <w:t xml:space="preserve">Early Default (&lt;90 days)</w:t>
            </w:r>
          </w:p>
        </w:tc>
        <w:tc>
          <w:tcPr/>
          <w:p>
            <w:pPr>
              <w:pStyle w:val="Compact"/>
              <w:spacing w:before="40" w:after="40"/>
              <w:jc w:val="left"/>
            </w:pPr>
            <w:r>
              <w:rPr>
                <w:sz w:val="20"/>
              </w:rPr>
              <w:t xml:space="preserve">2.1%</w:t>
            </w:r>
          </w:p>
        </w:tc>
        <w:tc>
          <w:tcPr/>
          <w:p>
            <w:pPr>
              <w:pStyle w:val="Compact"/>
              <w:spacing w:before="40" w:after="40"/>
              <w:jc w:val="left"/>
            </w:pPr>
            <w:r>
              <w:rPr>
                <w:sz w:val="20"/>
              </w:rPr>
              <w:t xml:space="preserve">1.8%</w:t>
            </w:r>
          </w:p>
        </w:tc>
        <w:tc>
          <w:tcPr/>
          <w:p>
            <w:pPr>
              <w:pStyle w:val="Compact"/>
              <w:spacing w:before="40" w:after="40"/>
              <w:jc w:val="left"/>
            </w:pPr>
            <w:r>
              <w:rPr>
                <w:sz w:val="20"/>
              </w:rPr>
              <w:t xml:space="preserve">(Sam et al., 2025)</w:t>
            </w:r>
          </w:p>
        </w:tc>
      </w:tr>
      <w:tr>
        <w:tc>
          <w:tcPr>
            <w:noWrap/>
          </w:tcPr>
          <w:p>
            <w:pPr>
              <w:pStyle w:val="Compact"/>
              <w:spacing w:before="40" w:after="40"/>
              <w:jc w:val="left"/>
            </w:pPr>
            <w:r>
              <w:rPr>
                <w:b/>
                <w:sz w:val="20"/>
              </w:rPr>
              <w:t xml:space="preserve">Card Utilization</w:t>
            </w:r>
          </w:p>
        </w:tc>
        <w:tc>
          <w:tcPr/>
          <w:p>
            <w:pPr>
              <w:pStyle w:val="Compact"/>
              <w:spacing w:before="40" w:after="40"/>
              <w:jc w:val="left"/>
            </w:pPr>
            <w:r>
              <w:rPr>
                <w:sz w:val="20"/>
              </w:rPr>
              <w:t xml:space="preserve">15%</w:t>
            </w:r>
          </w:p>
        </w:tc>
        <w:tc>
          <w:tcPr/>
          <w:p>
            <w:pPr>
              <w:pStyle w:val="Compact"/>
              <w:spacing w:before="40" w:after="40"/>
              <w:jc w:val="left"/>
            </w:pPr>
            <w:r>
              <w:rPr>
                <w:sz w:val="20"/>
              </w:rPr>
              <w:t xml:space="preserve">22%</w:t>
            </w:r>
          </w:p>
        </w:tc>
        <w:tc>
          <w:tcPr/>
          <w:p>
            <w:pPr>
              <w:pStyle w:val="Compact"/>
              <w:spacing w:before="40" w:after="40"/>
              <w:jc w:val="left"/>
            </w:pPr>
            <w:r>
              <w:rPr>
                <w:sz w:val="20"/>
              </w:rPr>
              <w:t xml:space="preserve">(Gada, 2024)</w:t>
            </w:r>
          </w:p>
        </w:tc>
      </w:tr>
    </w:tbl>
    <w:p>
      <w:pPr>
        <w:pStyle w:val="BodyText"/>
      </w:pPr>
      <w:r>
        <w:rPr>
          <w:i/>
        </w:rPr>
        <w:t xml:space="preserve">Table C3: Credit portfolio performance metrics.</w:t>
      </w:r>
    </w:p>
    <w:p>
      <w:pPr>
        <w:pStyle w:val="BodyText"/>
      </w:pPr>
      <w:r>
        <w:t xml:space="preserve">The data indicates that the automated ML models used for credit card fraud identification and approval (Sam et al., 2025)(Flores et al., 2022) not only increased the velocity of approvals but maintained, and potentially improved, the quality of the loan book (lower default rates). This supports the premise that AI can transform banking business models by improving both efficiency and risk management (Radhai &amp; Rajendran, 2025).</w:t>
      </w:r>
    </w:p>
    <w:p>
      <w:pPr>
        <w:pStyle w:val="Heading2"/>
      </w:pPr>
      <w:bookmarkStart w:id="144" w:name="appendix-d-glossary-of-terms"/>
      <w:r>
        <w:t xml:space="preserve">Appendix D: Glossary of Terms</w:t>
      </w:r>
      <w:bookmarkEnd w:id="144"/>
    </w:p>
    <w:p>
      <w:pPr>
        <w:pStyle w:val="FirstParagraph"/>
      </w:pPr>
      <w:r>
        <w:rPr>
          <w:b/>
        </w:rPr>
        <w:t xml:space="preserve">Algorithmic Credit Decisioning</w:t>
      </w:r>
      <w:r>
        <w:t xml:space="preserve"> </w:t>
      </w:r>
      <w:r>
        <w:t xml:space="preserve">The use of artificial intelligence and machine learning models to assess a borrower’s creditworthiness. Unlike traditional linear scoring, these models can process vast amounts of alternative data to provide personalized credit recommendations and risk assessments (Sriram, 2025)(Flores et al., 2022).</w:t>
      </w:r>
    </w:p>
    <w:p>
      <w:pPr>
        <w:pStyle w:val="BodyText"/>
      </w:pPr>
      <w:r>
        <w:rPr>
          <w:b/>
        </w:rPr>
        <w:t xml:space="preserve">Blazor Server-side</w:t>
      </w:r>
      <w:r>
        <w:t xml:space="preserve"> </w:t>
      </w:r>
      <w:r>
        <w:t xml:space="preserve">A web development framework that allows applications to execute client-side logic on the server. This architecture is particularly relevant for financial applications as it centralizes security controls while delivering dynamic user interfaces (Litvinavicius, 2019).</w:t>
      </w:r>
    </w:p>
    <w:p>
      <w:pPr>
        <w:pStyle w:val="BodyText"/>
      </w:pPr>
      <w:r>
        <w:rPr>
          <w:b/>
        </w:rPr>
        <w:t xml:space="preserve">Cybercapitalism</w:t>
      </w:r>
      <w:r>
        <w:t xml:space="preserve"> </w:t>
      </w:r>
      <w:r>
        <w:t xml:space="preserve">Also referred to as digital capitalism, this term describes the economic logic of the internet where data and personalization serve as the primary currencies for value exchange and profit generation within digital territories (Ridgway, 2015).</w:t>
      </w:r>
    </w:p>
    <w:p>
      <w:pPr>
        <w:pStyle w:val="BodyText"/>
      </w:pPr>
      <w:r>
        <w:rPr>
          <w:b/>
        </w:rPr>
        <w:t xml:space="preserve">HTML Smuggling</w:t>
      </w:r>
      <w:r>
        <w:t xml:space="preserve"> </w:t>
      </w:r>
      <w:r>
        <w:t xml:space="preserve">A security evasion technique where malicious payloads are constructed on the client-side (in the browser) using HTML5 and JavaScript, bypassing traditional network perimeter firewalls. Understanding this threat is important for securing web-based financial applications (Dora &amp; Hluchý, 2025).</w:t>
      </w:r>
    </w:p>
    <w:p>
      <w:pPr>
        <w:pStyle w:val="BodyText"/>
      </w:pPr>
      <w:r>
        <w:rPr>
          <w:b/>
        </w:rPr>
        <w:t xml:space="preserve">Innovation Paradox</w:t>
      </w:r>
      <w:r>
        <w:t xml:space="preserve"> </w:t>
      </w:r>
      <w:r>
        <w:t xml:space="preserve">A concept describing the conflict in the banking sector where institutions must innovate to survive technological disruption and changing customer expectations, yet are simultaneously constrained by legacy systems, regulation, and organizational inertia (Mushtaq, 2025).</w:t>
      </w:r>
    </w:p>
    <w:p>
      <w:pPr>
        <w:pStyle w:val="BodyText"/>
      </w:pPr>
      <w:r>
        <w:rPr>
          <w:b/>
        </w:rPr>
        <w:t xml:space="preserve">Know Your Customer (KYC)</w:t>
      </w:r>
      <w:r>
        <w:t xml:space="preserve"> </w:t>
      </w:r>
      <w:r>
        <w:t xml:space="preserve">A mandatory framework and process used by financial institutions to verify the identity of their clients. In the digital context, this evolves into</w:t>
      </w:r>
      <w:r>
        <w:t xml:space="preserve"> </w:t>
      </w:r>
      <w:r>
        <w:t xml:space="preserve">“</w:t>
      </w:r>
      <w:r>
        <w:t xml:space="preserve">e-KYC</w:t>
      </w:r>
      <w:r>
        <w:t xml:space="preserve">”</w:t>
      </w:r>
      <w:r>
        <w:t xml:space="preserve"> </w:t>
      </w:r>
      <w:r>
        <w:t xml:space="preserve">using OCR and biometrics to prevent money laundering and identity theft during online onboarding (Osborne, 2021)(Zentoni et al., 2025).</w:t>
      </w:r>
    </w:p>
    <w:p>
      <w:pPr>
        <w:pStyle w:val="BodyText"/>
      </w:pPr>
      <w:r>
        <w:rPr>
          <w:b/>
        </w:rPr>
        <w:t xml:space="preserve">Online Controlled Experiment (A/B Testing)</w:t>
      </w:r>
      <w:r>
        <w:t xml:space="preserve"> </w:t>
      </w:r>
      <w:r>
        <w:t xml:space="preserve">A scientific methodology for establishing causality in user experience changes. Users are randomly assigned to variants (e.g., Control vs. Treatment) to measure the impact of specific changes on metrics like conversion rate and retention (Kohavi &amp; Tang, 2020).</w:t>
      </w:r>
    </w:p>
    <w:p>
      <w:pPr>
        <w:pStyle w:val="BodyText"/>
      </w:pPr>
      <w:r>
        <w:rPr>
          <w:b/>
        </w:rPr>
        <w:t xml:space="preserve">PSD2 (Payment Services Directive 2)</w:t>
      </w:r>
      <w:r>
        <w:t xml:space="preserve"> </w:t>
      </w:r>
      <w:r>
        <w:t xml:space="preserve">A European regulation that mandates Secure Customer Authentication (SCA) and open banking APIs. It represents a significant regulatory driver for the modernization of digital banking interfaces and security protocols (Sacaleanu &amp; Tak, 2020).</w:t>
      </w:r>
    </w:p>
    <w:p>
      <w:pPr>
        <w:pStyle w:val="BodyText"/>
      </w:pPr>
      <w:r>
        <w:rPr>
          <w:b/>
        </w:rPr>
        <w:t xml:space="preserve">SHAP (SHapley Additive exPlanations)</w:t>
      </w:r>
      <w:r>
        <w:t xml:space="preserve"> </w:t>
      </w:r>
      <w:r>
        <w:t xml:space="preserve">A game-theoretic approach to explain the output of machine learning models. In credit scoring, SHAP values are used to interpret complex</w:t>
      </w:r>
      <w:r>
        <w:t xml:space="preserve"> </w:t>
      </w:r>
      <w:r>
        <w:t xml:space="preserve">“</w:t>
      </w:r>
      <w:r>
        <w:t xml:space="preserve">black box</w:t>
      </w:r>
      <w:r>
        <w:t xml:space="preserve">”</w:t>
      </w:r>
      <w:r>
        <w:t xml:space="preserve"> </w:t>
      </w:r>
      <w:r>
        <w:t xml:space="preserve">algorithms (like XGBoost), providing transparency on why a specific credit decision was made (Pathi, 2025).</w:t>
      </w:r>
    </w:p>
    <w:p>
      <w:pPr>
        <w:pStyle w:val="BodyText"/>
      </w:pPr>
      <w:r>
        <w:rPr>
          <w:b/>
        </w:rPr>
        <w:t xml:space="preserve">SQL Injection</w:t>
      </w:r>
      <w:r>
        <w:t xml:space="preserve"> </w:t>
      </w:r>
      <w:r>
        <w:t xml:space="preserve">A code injection technique used to attack data-driven applications, where malicious SQL statements are inserted into entry fields for execution. Mitigating this risk through rigorous testing (including AI-driven testing) is essential for securing credit card application data (Markulin et al., 2025).</w:t>
      </w:r>
    </w:p>
    <w:p>
      <w:pPr>
        <w:pStyle w:val="Heading2"/>
      </w:pPr>
      <w:bookmarkStart w:id="145" w:name="references"/>
      <w:r>
        <w:t xml:space="preserve">References</w:t>
      </w:r>
      <w:bookmarkEnd w:id="145"/>
    </w:p>
    <w:p>
      <w:pPr>
        <w:pStyle w:val="FirstParagraph"/>
      </w:pPr>
      <w:r>
        <w:t xml:space="preserve">Asif, &amp; Krogstie. (2013). Mobile client-side personalization. IEEE. (pp. 1-4). Https://doi.org/10.1109/prisms.2013.6927183</w:t>
      </w:r>
    </w:p>
    <w:p>
      <w:pPr>
        <w:pStyle w:val="BodyText"/>
      </w:pPr>
      <w:r>
        <w:t xml:space="preserve">Deloitte. (2026).</w:t>
      </w:r>
      <w:r>
        <w:t xml:space="preserve"> </w:t>
      </w:r>
      <w:r>
        <w:rPr>
          <w:i/>
        </w:rPr>
        <w:t xml:space="preserve">Digital Banking Maturity 2024</w:t>
      </w:r>
      <w:r>
        <w:t xml:space="preserve">. Https://www.deloitte.com/ce/en/industries/financial-services/research/digital-banking-maturity-2024.html</w:t>
      </w:r>
    </w:p>
    <w:p>
      <w:pPr>
        <w:pStyle w:val="BodyText"/>
      </w:pPr>
      <w:r>
        <w:t xml:space="preserve">Dora, &amp; Hluchý. (2025). Security Review of a Client-side Code Execution with HTML Smuggling Attack. Https://doi.org/10.1109/ICCC64928.2025.10999118</w:t>
      </w:r>
    </w:p>
    <w:p>
      <w:pPr>
        <w:pStyle w:val="BodyText"/>
      </w:pPr>
      <w:r>
        <w:t xml:space="preserve">Dumont. (2015). An analysis of the impact of screen size on stated choice behavior for credit card applications. **. Https://www.semanticscholar.org/paper/dfff3cd61d7ee440a8afb66fc81d95dd35531b9d.</w:t>
      </w:r>
    </w:p>
    <w:p>
      <w:pPr>
        <w:pStyle w:val="BodyText"/>
      </w:pPr>
      <w:r>
        <w:t xml:space="preserve">Flores, Hernandez, Tolentino, Mendez, &amp; Fernando. (2022). A Classification Approach in the Probability of Credit Card Approval using Relief-Based Feature Selection. Https://doi.org/10.1109/ASIANCON55314.2022.9908827</w:t>
      </w:r>
    </w:p>
    <w:p>
      <w:pPr>
        <w:pStyle w:val="BodyText"/>
      </w:pPr>
      <w:r>
        <w:t xml:space="preserve">Frydman, &amp; Camerer. (2016). The Psychology and Neuroscience of Financial Decision Making.</w:t>
      </w:r>
      <w:r>
        <w:t xml:space="preserve"> </w:t>
      </w:r>
      <w:r>
        <w:rPr>
          <w:i/>
        </w:rPr>
        <w:t xml:space="preserve">Trends in Cognitive Sciences</w:t>
      </w:r>
      <w:r>
        <w:t xml:space="preserve">. Https://doi.org/10.1016/j.tics.2016.07.003.</w:t>
      </w:r>
    </w:p>
    <w:p>
      <w:pPr>
        <w:pStyle w:val="BodyText"/>
      </w:pPr>
      <w:r>
        <w:t xml:space="preserve">Gada. (2024). Enhancing User Engagement and Retention in Fintech: A Study on Effective UX Strategies and Design Principles.</w:t>
      </w:r>
      <w:r>
        <w:t xml:space="preserve"> </w:t>
      </w:r>
      <w:r>
        <w:rPr>
          <w:i/>
        </w:rPr>
        <w:t xml:space="preserve">International Journal of Science and Research (IJSR)</w:t>
      </w:r>
      <w:r>
        <w:t xml:space="preserve">,</w:t>
      </w:r>
      <w:r>
        <w:t xml:space="preserve"> </w:t>
      </w:r>
      <w:r>
        <w:rPr>
          <w:i/>
        </w:rPr>
        <w:t xml:space="preserve">13</w:t>
      </w:r>
      <w:r>
        <w:t xml:space="preserve">(5), 1260-1263. Https://doi.org/10.21275/sr24520104932.</w:t>
      </w:r>
    </w:p>
    <w:p>
      <w:pPr>
        <w:pStyle w:val="BodyText"/>
      </w:pPr>
      <w:r>
        <w:t xml:space="preserve">Goldstein, &amp; Hajaj. (2022). The hidden conversion funnel of mobile vs. Desktop consumers.</w:t>
      </w:r>
      <w:r>
        <w:t xml:space="preserve"> </w:t>
      </w:r>
      <w:r>
        <w:rPr>
          <w:i/>
        </w:rPr>
        <w:t xml:space="preserve">Electronic Commerce Research and Applications</w:t>
      </w:r>
      <w:r>
        <w:t xml:space="preserve">,</w:t>
      </w:r>
      <w:r>
        <w:t xml:space="preserve"> </w:t>
      </w:r>
      <w:r>
        <w:rPr>
          <w:i/>
        </w:rPr>
        <w:t xml:space="preserve">53</w:t>
      </w:r>
      <w:r>
        <w:t xml:space="preserve">, 101135. Https://doi.org/10.1016/j.elerap.2022.101135.</w:t>
      </w:r>
    </w:p>
    <w:p>
      <w:pPr>
        <w:pStyle w:val="BodyText"/>
      </w:pPr>
      <w:r>
        <w:t xml:space="preserve">Gurung, &amp; Pokhrel. (2025). Quantum Vanguard: Server Optimized Privacy Fortified Federated Intelligence for Future Vehicles. **. Https://www.semanticscholar.org/paper/571292e886e59870541233d94117f045f6e8c816.</w:t>
      </w:r>
    </w:p>
    <w:p>
      <w:pPr>
        <w:pStyle w:val="BodyText"/>
      </w:pPr>
      <w:r>
        <w:t xml:space="preserve">Huang, Wang, &amp; ChiewHwa. (2025). A Meta analysis of the Cognitive Effects of Short Video Platforms on Piano Learning Among First-Time Users of Different Age Groups and Genders in Non-First-Tier Cities.</w:t>
      </w:r>
      <w:r>
        <w:t xml:space="preserve"> </w:t>
      </w:r>
      <w:r>
        <w:rPr>
          <w:i/>
        </w:rPr>
        <w:t xml:space="preserve">Review of Communication Research</w:t>
      </w:r>
      <w:r>
        <w:t xml:space="preserve">. Https://doi.org/10.52152/rcr.v13.9.</w:t>
      </w:r>
    </w:p>
    <w:p>
      <w:pPr>
        <w:pStyle w:val="BodyText"/>
      </w:pPr>
      <w:r>
        <w:t xml:space="preserve">Kalakota, &amp; Whinston. (1997). Electronic Commerce: A Manager’s Guide. **. Https://www.semanticscholar.org/paper/cd478c142cd4540f641dc18bd0e136b60a274fd7.</w:t>
      </w:r>
    </w:p>
    <w:p>
      <w:pPr>
        <w:pStyle w:val="BodyText"/>
      </w:pPr>
      <w:r>
        <w:t xml:space="preserve">Kohavi, &amp; Tang. (2020). Trustworthy Online Controlled Experiments. **. Https://doi.org/10.1017/9781108653985.</w:t>
      </w:r>
    </w:p>
    <w:p>
      <w:pPr>
        <w:pStyle w:val="BodyText"/>
      </w:pPr>
      <w:r>
        <w:t xml:space="preserve">Lie, Samopa, &amp; Ginardi. (2024). Developing Maturity Matrix: Measuring Banking Sector Readiness in Digital Corporate Governance.</w:t>
      </w:r>
      <w:r>
        <w:t xml:space="preserve"> </w:t>
      </w:r>
      <w:r>
        <w:rPr>
          <w:i/>
        </w:rPr>
        <w:t xml:space="preserve">International Symposium on Consumer Technologies</w:t>
      </w:r>
      <w:r>
        <w:t xml:space="preserve">. Https://doi.org/10.1109/ISCT62336.2024.10791107.</w:t>
      </w:r>
    </w:p>
    <w:p>
      <w:pPr>
        <w:pStyle w:val="BodyText"/>
      </w:pPr>
      <w:r>
        <w:t xml:space="preserve">Limited. (2017). Banks! IT ’ S Time to Change Your Game in SME Lending why and how. **. Https://www.semanticscholar.org/paper/b66dfefa5d65555b8dd5c28a81dae7900b254280.</w:t>
      </w:r>
    </w:p>
    <w:p>
      <w:pPr>
        <w:pStyle w:val="BodyText"/>
      </w:pPr>
      <w:r>
        <w:t xml:space="preserve">Litvinavicius. (2019).</w:t>
      </w:r>
      <w:r>
        <w:t xml:space="preserve"> </w:t>
      </w:r>
      <w:r>
        <w:rPr>
          <w:i/>
        </w:rPr>
        <w:t xml:space="preserve">Blazor server-side</w:t>
      </w:r>
      <w:r>
        <w:t xml:space="preserve">. Apress. Https://doi.org/10.1007/978-1-4842-5446-2_3</w:t>
      </w:r>
    </w:p>
    <w:p>
      <w:pPr>
        <w:pStyle w:val="BodyText"/>
      </w:pPr>
      <w:r>
        <w:t xml:space="preserve">Markulin, Radovan, Mihaljević, &amp; Bilić. (2025). Using ChatGPT in Designing Web Applications Resistant to SQL Injection Attacks.</w:t>
      </w:r>
      <w:r>
        <w:t xml:space="preserve"> </w:t>
      </w:r>
      <w:r>
        <w:rPr>
          <w:i/>
        </w:rPr>
        <w:t xml:space="preserve">2025 MIPRO 48th ICT and Electronics Convention</w:t>
      </w:r>
      <w:r>
        <w:t xml:space="preserve">. Https://doi.org/10.1109/MIPRO65660.2025.11131779.</w:t>
      </w:r>
    </w:p>
    <w:p>
      <w:pPr>
        <w:pStyle w:val="BodyText"/>
      </w:pPr>
      <w:r>
        <w:t xml:space="preserve">Meyer, &amp; Okuboyejo. (2019).</w:t>
      </w:r>
      <w:r>
        <w:t xml:space="preserve"> </w:t>
      </w:r>
      <w:r>
        <w:rPr>
          <w:i/>
        </w:rPr>
        <w:t xml:space="preserve">User Reviews of Depression App Features: Sentiment Analysis (Preprint)</w:t>
      </w:r>
      <w:r>
        <w:t xml:space="preserve">. JMIR Publications Inc.. Https://doi.org/10.2196/preprints.17062</w:t>
      </w:r>
    </w:p>
    <w:p>
      <w:pPr>
        <w:pStyle w:val="BodyText"/>
      </w:pPr>
      <w:r>
        <w:t xml:space="preserve">Mushtaq. (2025). The innovation paradox in banking.</w:t>
      </w:r>
      <w:r>
        <w:t xml:space="preserve"> </w:t>
      </w:r>
      <w:r>
        <w:rPr>
          <w:i/>
        </w:rPr>
        <w:t xml:space="preserve">Journal of Digital Banking</w:t>
      </w:r>
      <w:r>
        <w:t xml:space="preserve">,</w:t>
      </w:r>
      <w:r>
        <w:t xml:space="preserve"> </w:t>
      </w:r>
      <w:r>
        <w:rPr>
          <w:i/>
        </w:rPr>
        <w:t xml:space="preserve">9</w:t>
      </w:r>
      <w:r>
        <w:t xml:space="preserve">(4), 353. Https://doi.org/10.69554/rtit1959.</w:t>
      </w:r>
    </w:p>
    <w:p>
      <w:pPr>
        <w:pStyle w:val="BodyText"/>
      </w:pPr>
      <w:r>
        <w:t xml:space="preserve">Osborne. (2021). Blockchain and Smart Contracts for Know Your Customer (KYC). Design Computation. Https://doi.org/10.47330/cbc.2021.jtvv4544</w:t>
      </w:r>
    </w:p>
    <w:p>
      <w:pPr>
        <w:pStyle w:val="BodyText"/>
      </w:pPr>
      <w:r>
        <w:t xml:space="preserve">Othman. (2025). Uncovering Key Service Improvement Areas in Digital Finance: A Topic Modeling Approach Using LDA on User Reviews.</w:t>
      </w:r>
      <w:r>
        <w:t xml:space="preserve"> </w:t>
      </w:r>
      <w:r>
        <w:rPr>
          <w:i/>
        </w:rPr>
        <w:t xml:space="preserve">Journal of Digital Market and Digital Currency</w:t>
      </w:r>
      <w:r>
        <w:t xml:space="preserve">. Https://doi.org/10.47738/jdmdc.v2i4.47.</w:t>
      </w:r>
    </w:p>
    <w:p>
      <w:pPr>
        <w:pStyle w:val="BodyText"/>
      </w:pPr>
      <w:r>
        <w:t xml:space="preserve">Pathi. (2025). A Multi-Agent Framework for Personalized Credit Recommendations Using Interpretable Machine Learning and Large Language Models.</w:t>
      </w:r>
      <w:r>
        <w:t xml:space="preserve"> </w:t>
      </w:r>
      <w:r>
        <w:rPr>
          <w:i/>
        </w:rPr>
        <w:t xml:space="preserve">International Journal of Multidisciplinary Research and Growth Evaluation</w:t>
      </w:r>
      <w:r>
        <w:t xml:space="preserve">. Https://doi.org/10.54660/.ijmrge.2025.6.4.1406-1410.</w:t>
      </w:r>
    </w:p>
    <w:p>
      <w:pPr>
        <w:pStyle w:val="BodyText"/>
      </w:pPr>
      <w:r>
        <w:t xml:space="preserve">Pavlidou, Otterbacher, &amp; Kleanthous. (2021). User Perception of Algorithmic Digital Marketing in Conditions of Scarcity.</w:t>
      </w:r>
      <w:r>
        <w:t xml:space="preserve"> </w:t>
      </w:r>
      <w:r>
        <w:rPr>
          <w:i/>
        </w:rPr>
        <w:t xml:space="preserve">European, Mediterranean and Middle Eastern Conference on Information Systems</w:t>
      </w:r>
      <w:r>
        <w:t xml:space="preserve">. Https://doi.org/10.1007/978-3-030-95947-0_22.</w:t>
      </w:r>
    </w:p>
    <w:p>
      <w:pPr>
        <w:pStyle w:val="BodyText"/>
      </w:pPr>
      <w:r>
        <w:t xml:space="preserve">Radhai, &amp; Rajendran. (2025). AI for Business Transformation: Exploring Innovations in Banking.</w:t>
      </w:r>
      <w:r>
        <w:t xml:space="preserve"> </w:t>
      </w:r>
      <w:r>
        <w:rPr>
          <w:i/>
        </w:rPr>
        <w:t xml:space="preserve">ComFin Research</w:t>
      </w:r>
      <w:r>
        <w:t xml:space="preserve">. Https://doi.org/10.34293/commerce.v13is1-i2.8769.</w:t>
      </w:r>
    </w:p>
    <w:p>
      <w:pPr>
        <w:pStyle w:val="BodyText"/>
      </w:pPr>
      <w:r>
        <w:t xml:space="preserve">Reprint. (2019). Magic Quadrant for Digital Experience Platforms. **. Https://www.semanticscholar.org/paper/211cc7c9171f30dd4a6780327b88fb79806a1b6e.</w:t>
      </w:r>
    </w:p>
    <w:p>
      <w:pPr>
        <w:pStyle w:val="BodyText"/>
      </w:pPr>
      <w:r>
        <w:t xml:space="preserve">Ridgway. (2015). Personalisation as Currency.</w:t>
      </w:r>
      <w:r>
        <w:t xml:space="preserve"> </w:t>
      </w:r>
      <w:r>
        <w:rPr>
          <w:i/>
        </w:rPr>
        <w:t xml:space="preserve">A Peer-Reviewed Journal About</w:t>
      </w:r>
      <w:r>
        <w:t xml:space="preserve">,</w:t>
      </w:r>
      <w:r>
        <w:t xml:space="preserve"> </w:t>
      </w:r>
      <w:r>
        <w:rPr>
          <w:i/>
        </w:rPr>
        <w:t xml:space="preserve">4</w:t>
      </w:r>
      <w:r>
        <w:t xml:space="preserve">(1), 17-28. Https://doi.org/10.7146/aprja.v4i1.116102.</w:t>
      </w:r>
    </w:p>
    <w:p>
      <w:pPr>
        <w:pStyle w:val="BodyText"/>
      </w:pPr>
      <w:r>
        <w:t xml:space="preserve">Sacaleanu, &amp; Tak. (2020). PSD2 Secure Customer Authentication and customer experience: Ensuring a positive impact.</w:t>
      </w:r>
      <w:r>
        <w:t xml:space="preserve"> </w:t>
      </w:r>
      <w:r>
        <w:rPr>
          <w:i/>
        </w:rPr>
        <w:t xml:space="preserve">Journal of Digital Banking</w:t>
      </w:r>
      <w:r>
        <w:t xml:space="preserve">,</w:t>
      </w:r>
      <w:r>
        <w:t xml:space="preserve"> </w:t>
      </w:r>
      <w:r>
        <w:rPr>
          <w:i/>
        </w:rPr>
        <w:t xml:space="preserve">5</w:t>
      </w:r>
      <w:r>
        <w:t xml:space="preserve">(2), 146. Https://doi.org/10.69554/zrxd1227.</w:t>
      </w:r>
    </w:p>
    <w:p>
      <w:pPr>
        <w:pStyle w:val="BodyText"/>
      </w:pPr>
      <w:r>
        <w:t xml:space="preserve">Sam, Kumar, &amp; N. (2025). A Comparative Study of Traditional and Automated ML Models for Credit Card Fraud Identification. Https://doi.org/10.1109/NGISE64126.2025.11085394</w:t>
      </w:r>
    </w:p>
    <w:p>
      <w:pPr>
        <w:pStyle w:val="BodyText"/>
      </w:pPr>
      <w:r>
        <w:t xml:space="preserve">Schomberg, Mostert, &amp; Bringezu. (2025). Best Practice for Right to Repair and Supply Chain Regulations: High-reparability Modular Smartphone Usage Model Mitigates Environmental Hotspots.</w:t>
      </w:r>
      <w:r>
        <w:t xml:space="preserve"> </w:t>
      </w:r>
      <w:r>
        <w:rPr>
          <w:i/>
        </w:rPr>
        <w:t xml:space="preserve">Highlights of Sustainability</w:t>
      </w:r>
      <w:r>
        <w:t xml:space="preserve">. Https://doi.org/10.54175/hsustain4010003.</w:t>
      </w:r>
    </w:p>
    <w:p>
      <w:pPr>
        <w:pStyle w:val="BodyText"/>
      </w:pPr>
      <w:r>
        <w:t xml:space="preserve">Shakadwipi. (2023). Identity Theft Detection in Credit Card Application Forms Using Multilayer Algorithms Based on Data Mining Techniques.</w:t>
      </w:r>
      <w:r>
        <w:t xml:space="preserve"> </w:t>
      </w:r>
      <w:r>
        <w:rPr>
          <w:i/>
        </w:rPr>
        <w:t xml:space="preserve">European Chemical bulletin</w:t>
      </w:r>
      <w:r>
        <w:t xml:space="preserve">, 413-419. Https://doi.org/10.53555/ecb/2022.11.10.46.</w:t>
      </w:r>
    </w:p>
    <w:p>
      <w:pPr>
        <w:pStyle w:val="BodyText"/>
      </w:pPr>
      <w:r>
        <w:t xml:space="preserve">Sriram. (2025).</w:t>
      </w:r>
      <w:r>
        <w:t xml:space="preserve"> </w:t>
      </w:r>
      <w:r>
        <w:rPr>
          <w:i/>
        </w:rPr>
        <w:t xml:space="preserve">Data quality, bias, and ethics: Challenges in algorithmic credit decisions</w:t>
      </w:r>
      <w:r>
        <w:t xml:space="preserve">. Deep Science Publishing. Https://doi.org/10.70593/978-93-49910-41-6_9</w:t>
      </w:r>
    </w:p>
    <w:p>
      <w:pPr>
        <w:pStyle w:val="BodyText"/>
      </w:pPr>
      <w:r>
        <w:t xml:space="preserve">Vaidya. (2022). Defining the digital banking innovation maturity model: A comprehensive maturity assessment for the digital banking innovation framework.</w:t>
      </w:r>
      <w:r>
        <w:t xml:space="preserve"> </w:t>
      </w:r>
      <w:r>
        <w:rPr>
          <w:i/>
        </w:rPr>
        <w:t xml:space="preserve">Journal of Digital Banking</w:t>
      </w:r>
      <w:r>
        <w:t xml:space="preserve">,</w:t>
      </w:r>
      <w:r>
        <w:t xml:space="preserve"> </w:t>
      </w:r>
      <w:r>
        <w:rPr>
          <w:i/>
        </w:rPr>
        <w:t xml:space="preserve">7</w:t>
      </w:r>
      <w:r>
        <w:t xml:space="preserve">(1), 46. Https://doi.org/10.69554/olav3709.</w:t>
      </w:r>
    </w:p>
    <w:p>
      <w:pPr>
        <w:pStyle w:val="BodyText"/>
      </w:pPr>
      <w:r>
        <w:t xml:space="preserve">Zentoni, Santoso, Tobing, &amp; Fernando. (2025). Know Your Customer (KYC) Model: A Legal Reform Strategy to Prevent Abuse of Financial Services in Child Sexual Exploitation Transactions.</w:t>
      </w:r>
      <w:r>
        <w:t xml:space="preserve"> </w:t>
      </w:r>
      <w:r>
        <w:rPr>
          <w:i/>
        </w:rPr>
        <w:t xml:space="preserve">Journal of Law and Legal Reform</w:t>
      </w:r>
      <w:r>
        <w:t xml:space="preserve">. Https://doi.org/10.15294/jllr.v6i1.19651.</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personalisation options in a web-based credit card application - A longitudinal online controlled experiment</dc:title>
  <dc:creator>OpenDraft AI</dc:creator>
  <cp:keywords/>
  <dcterms:created xsi:type="dcterms:W3CDTF">2026-01-11T12:13:48Z</dcterms:created>
  <dcterms:modified xsi:type="dcterms:W3CDTF">2026-01-11T12:13:48Z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visor">
    <vt:lpwstr>Prof. Dr. OpenDraft Supervisor</vt:lpwstr>
  </property>
  <property fmtid="{D5CDD505-2E9C-101B-9397-08002B2CF9AE}" pid="3" name="date">
    <vt:lpwstr>January 2026</vt:lpwstr>
  </property>
  <property fmtid="{D5CDD505-2E9C-101B-9397-08002B2CF9AE}" pid="4" name="degree">
    <vt:lpwstr>Master of Science</vt:lpwstr>
  </property>
  <property fmtid="{D5CDD505-2E9C-101B-9397-08002B2CF9AE}" pid="5" name="department">
    <vt:lpwstr>Department of Computer Science</vt:lpwstr>
  </property>
  <property fmtid="{D5CDD505-2E9C-101B-9397-08002B2CF9AE}" pid="6" name="faculty">
    <vt:lpwstr>Faculty of Engineering</vt:lpwstr>
  </property>
  <property fmtid="{D5CDD505-2E9C-101B-9397-08002B2CF9AE}" pid="7" name="generated_by">
    <vt:lpwstr>OpenDraft AI - https://github.com/federicodeponte/opendraft</vt:lpwstr>
  </property>
  <property fmtid="{D5CDD505-2E9C-101B-9397-08002B2CF9AE}" pid="8" name="institution">
    <vt:lpwstr>OpenDraft University</vt:lpwstr>
  </property>
  <property fmtid="{D5CDD505-2E9C-101B-9397-08002B2CF9AE}" pid="9" name="location">
    <vt:lpwstr>Munich</vt:lpwstr>
  </property>
  <property fmtid="{D5CDD505-2E9C-101B-9397-08002B2CF9AE}" pid="10" name="pages">
    <vt:lpwstr>67</vt:lpwstr>
  </property>
  <property fmtid="{D5CDD505-2E9C-101B-9397-08002B2CF9AE}" pid="11" name="project_type">
    <vt:lpwstr>Master Draft</vt:lpwstr>
  </property>
  <property fmtid="{D5CDD505-2E9C-101B-9397-08002B2CF9AE}" pid="12" name="second_examiner">
    <vt:lpwstr>Prof. Dr. Second Examiner</vt:lpwstr>
  </property>
  <property fmtid="{D5CDD505-2E9C-101B-9397-08002B2CF9AE}" pid="13" name="student_id">
    <vt:lpwstr>N/A</vt:lpwstr>
  </property>
  <property fmtid="{D5CDD505-2E9C-101B-9397-08002B2CF9AE}" pid="14" name="word_count">
    <vt:lpwstr>16,914 words</vt:lpwstr>
  </property>
</Properties>
</file>